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2F75B5"/>
          <w:sz w:val="26"/>
        </w:rPr>
        <w:t>DOCUMENT 4</w:t>
      </w:r>
    </w:p>
    <w:p>
      <w:pPr>
        <w:pStyle w:val="Title"/>
        <w:jc w:val="center"/>
      </w:pPr>
      <w:r>
        <w:t>Clinical Evidence Specification</w:t>
      </w:r>
    </w:p>
    <w:p>
      <w:pPr>
        <w:jc w:val="center"/>
      </w:pPr>
      <w:r>
        <w:rPr>
          <w:b/>
          <w:color w:val="17365D"/>
          <w:sz w:val="36"/>
        </w:rPr>
        <w:t>PART 7</w:t>
      </w:r>
    </w:p>
    <w:p>
      <w:pPr>
        <w:pStyle w:val="Title"/>
        <w:jc w:val="center"/>
      </w:pPr>
      <w:r>
        <w:t>Ultrasound Findings</w:t>
      </w:r>
    </w:p>
    <w:p>
      <w:pPr>
        <w:pStyle w:val="Subtitle"/>
        <w:jc w:val="center"/>
      </w:pPr>
      <w:r>
        <w:t>Fetal Presentation, Amniotic Fluid Volume, Fetal Cardiac Activity,</w:t>
        <w:br/>
        <w:t>Decision Logic, Explainability, and Safety Boundaries</w:t>
      </w:r>
    </w:p>
    <w:p/>
    <w:tbl>
      <w:tblPr>
        <w:tblW w:type="auto" w:w="0"/>
        <w:tblLook w:firstColumn="1" w:firstRow="1" w:lastColumn="0" w:lastRow="0" w:noHBand="0" w:noVBand="1" w:val="04A0"/>
      </w:tblPr>
      <w:tblGrid>
        <w:gridCol w:w="10080"/>
      </w:tblGrid>
      <w:tr>
        <w:tc>
          <w:tcPr>
            <w:tcW w:type="dxa" w:w="10080"/>
            <w:shd w:fill="FCE4D6"/>
            <w:tcBorders>
              <w:top w:val="single" w:sz="8" w:color="C00000"/>
              <w:left w:val="single" w:sz="8" w:color="C00000"/>
              <w:bottom w:val="single" w:sz="8" w:color="C00000"/>
              <w:right w:val="single" w:sz="8" w:color="C00000"/>
            </w:tcBorders>
            <w:tcMar>
              <w:top w:w="110" w:type="dxa"/>
              <w:bottom w:w="110" w:type="dxa"/>
              <w:start w:w="120" w:type="dxa"/>
              <w:end w:w="120" w:type="dxa"/>
            </w:tcMar>
          </w:tcPr>
          <w:p>
            <w:pPr>
              <w:pStyle w:val="Callout"/>
            </w:pPr>
            <w:r/>
            <w:r>
              <w:rPr>
                <w:b/>
                <w:color w:val="C00000"/>
              </w:rPr>
              <w:t>Clinical rules documented in this chapter</w:t>
              <w:br/>
            </w:r>
            <w:r>
              <w:t>The project CDSS treats breech, transverse, or oblique presentation; low or high amniotic fluid; and weak, abnormal, or absent fetal heartbeat entries as deterministic HIGH-risk factors. These rules support review and referral. The ultrasound record is documentary input only: the CDSS does not perform imaging, interpret images, diagnose fetal death, determine fetal well-being, or choose delivery management.</w:t>
            </w:r>
          </w:p>
        </w:tc>
      </w:tr>
    </w:tbl>
    <w:p>
      <w:pPr>
        <w:spacing w:after="20"/>
      </w:pPr>
    </w:p>
    <w:p>
      <w:pPr>
        <w:spacing w:before="48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Rewritten evidence specification | July 2026</w:t>
      </w:r>
    </w:p>
    <w:p>
      <w:r>
        <w:br w:type="page"/>
      </w:r>
    </w:p>
    <w:p>
      <w:pPr>
        <w:pStyle w:val="Heading1"/>
      </w:pPr>
      <w:r>
        <w:t>Executive Summary</w:t>
      </w:r>
    </w:p>
    <w:p>
      <w:r>
        <w:t>Obstetric ultrasound provides clinically important information about fetal viability, presentation, growth, anatomy, placental location, amniotic fluid, and selected Doppler findings. ISUOG's 2024 third-trimester guideline specifically includes viability, fetal presentation, amniotic-fluid assessment, biometry, growth pattern, placenta, Doppler, and anatomy in the scan checklist. WHO recommends one ultrasound before 24 weeks as part of routine antenatal care, while later scans are guided by clinical need and local policy.</w:t>
      </w:r>
    </w:p>
    <w:p>
      <w:r>
        <w:t>The current capstone does not analyze ultrasound images. A qualified external professional performs and interprets the examination, and the clinic records selected report findings. The CDSS then applies deterministic referral rules. This distinction is essential: the software is a record-based decision-support tool, not an ultrasound diagnostic system.</w:t>
      </w:r>
    </w:p>
    <w:tbl>
      <w:tblPr>
        <w:tblW w:type="auto" w:w="0"/>
        <w:tblLook w:firstColumn="1" w:firstRow="1" w:lastColumn="0" w:lastRow="0" w:noHBand="0" w:noVBand="1" w:val="04A0"/>
      </w:tblPr>
      <w:tblGrid>
        <w:gridCol w:w="10080"/>
      </w:tblGrid>
      <w:tr>
        <w:tc>
          <w:tcPr>
            <w:tcW w:type="dxa" w:w="10080"/>
            <w:shd w:fill="FFF2CC"/>
            <w:tcBorders>
              <w:top w:val="single" w:sz="8" w:color="BF9000"/>
              <w:left w:val="single" w:sz="8" w:color="BF9000"/>
              <w:bottom w:val="single" w:sz="8" w:color="BF9000"/>
              <w:right w:val="single" w:sz="8" w:color="BF9000"/>
            </w:tcBorders>
            <w:tcMar>
              <w:top w:w="110" w:type="dxa"/>
              <w:bottom w:w="110" w:type="dxa"/>
              <w:start w:w="120" w:type="dxa"/>
              <w:end w:w="120" w:type="dxa"/>
            </w:tcMar>
          </w:tcPr>
          <w:p>
            <w:pPr>
              <w:pStyle w:val="Callout"/>
            </w:pPr>
            <w:r/>
            <w:r>
              <w:rPr>
                <w:b/>
                <w:color w:val="BF9000"/>
              </w:rPr>
              <w:t>Most important safety correction</w:t>
              <w:br/>
            </w:r>
            <w:r>
              <w:t>The labels 'weak heartbeat' and 'abnormal heartbeat' are not standardized ultrasound diagnoses. They must be treated as externally reported warning entries requiring verification. 'Absent heartbeat' must never be converted by the CDSS into a final diagnosis of miscarriage or fetal death; early-pregnancy diagnosis may require qualified review, measurements, a second opinion, and a repeat scan.</w:t>
            </w:r>
          </w:p>
        </w:tc>
      </w:tr>
    </w:tbl>
    <w:p>
      <w:pPr>
        <w:spacing w:after="20"/>
      </w:pPr>
    </w:p>
    <w:p>
      <w:pPr>
        <w:pStyle w:val="Heading1"/>
      </w:pPr>
      <w:r>
        <w:t>1. Purpose and Scope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4968"/>
            <w:vAlign w:val="center"/>
            <w:tcMar>
              <w:top w:w="70" w:type="dxa"/>
              <w:bottom w:w="70" w:type="dxa"/>
              <w:start w:w="80" w:type="dxa"/>
              <w:end w:w="80" w:type="dxa"/>
            </w:tcMar>
            <w:shd w:fill="17365D"/>
          </w:tcPr>
          <w:p>
            <w:pPr>
              <w:pStyle w:val="TableHeader"/>
            </w:pPr>
            <w:r/>
            <w:r>
              <w:rPr>
                <w:b/>
                <w:color w:val="FFFFFF"/>
              </w:rPr>
              <w:t>In scope</w:t>
            </w:r>
          </w:p>
        </w:tc>
        <w:tc>
          <w:tcPr>
            <w:tcW w:type="dxa" w:w="4968"/>
            <w:vAlign w:val="center"/>
            <w:tcMar>
              <w:top w:w="70" w:type="dxa"/>
              <w:bottom w:w="70" w:type="dxa"/>
              <w:start w:w="80" w:type="dxa"/>
              <w:end w:w="80" w:type="dxa"/>
            </w:tcMar>
            <w:shd w:fill="17365D"/>
          </w:tcPr>
          <w:p>
            <w:pPr>
              <w:pStyle w:val="TableHeader"/>
            </w:pPr>
            <w:r/>
            <w:r>
              <w:rPr>
                <w:b/>
                <w:color w:val="FFFFFF"/>
              </w:rPr>
              <w:t>Outside scope</w:t>
            </w:r>
          </w:p>
        </w:tc>
      </w:tr>
      <w:tr>
        <w:trPr>
          <w:cantSplit/>
        </w:trPr>
        <w:tc>
          <w:tcPr>
            <w:tcW w:type="dxa" w:w="4968"/>
            <w:vAlign w:val="center"/>
            <w:tcMar>
              <w:top w:w="70" w:type="dxa"/>
              <w:bottom w:w="70" w:type="dxa"/>
              <w:start w:w="80" w:type="dxa"/>
              <w:end w:w="80" w:type="dxa"/>
            </w:tcMar>
          </w:tcPr>
          <w:p>
            <w:pPr>
              <w:pStyle w:val="TableText"/>
            </w:pPr>
            <w:r/>
            <w:r>
              <w:rPr>
                <w:b w:val="0"/>
              </w:rPr>
              <w:t>Using structured findings copied from a signed ultrasound report as referral-support inputs.</w:t>
            </w:r>
          </w:p>
        </w:tc>
        <w:tc>
          <w:tcPr>
            <w:tcW w:type="dxa" w:w="4968"/>
            <w:vAlign w:val="center"/>
            <w:tcMar>
              <w:top w:w="70" w:type="dxa"/>
              <w:bottom w:w="70" w:type="dxa"/>
              <w:start w:w="80" w:type="dxa"/>
              <w:end w:w="80" w:type="dxa"/>
            </w:tcMar>
          </w:tcPr>
          <w:p>
            <w:pPr>
              <w:pStyle w:val="TableText"/>
            </w:pPr>
            <w:r/>
            <w:r>
              <w:rPr>
                <w:b w:val="0"/>
              </w:rPr>
              <w:t>Analyzing images, cine loops, Doppler waveforms, or raw ultrasound measurements.</w:t>
            </w:r>
          </w:p>
        </w:tc>
      </w:tr>
      <w:tr>
        <w:trPr>
          <w:cantSplit/>
        </w:trPr>
        <w:tc>
          <w:tcPr>
            <w:tcW w:type="dxa" w:w="4968"/>
            <w:vAlign w:val="center"/>
            <w:tcMar>
              <w:top w:w="70" w:type="dxa"/>
              <w:bottom w:w="70" w:type="dxa"/>
              <w:start w:w="80" w:type="dxa"/>
              <w:end w:w="80" w:type="dxa"/>
            </w:tcMar>
            <w:shd w:fill="EDF4FA"/>
          </w:tcPr>
          <w:p>
            <w:pPr>
              <w:pStyle w:val="TableText"/>
            </w:pPr>
            <w:r/>
            <w:r>
              <w:rPr>
                <w:b w:val="0"/>
              </w:rPr>
              <w:t>Applying transparent HIGH rules to specified presentation, fluid, and cardiac-activity values.</w:t>
            </w:r>
          </w:p>
        </w:tc>
        <w:tc>
          <w:tcPr>
            <w:tcW w:type="dxa" w:w="4968"/>
            <w:vAlign w:val="center"/>
            <w:tcMar>
              <w:top w:w="70" w:type="dxa"/>
              <w:bottom w:w="70" w:type="dxa"/>
              <w:start w:w="80" w:type="dxa"/>
              <w:end w:w="80" w:type="dxa"/>
            </w:tcMar>
            <w:shd w:fill="EDF4FA"/>
          </w:tcPr>
          <w:p>
            <w:pPr>
              <w:pStyle w:val="TableText"/>
            </w:pPr>
            <w:r/>
            <w:r>
              <w:rPr>
                <w:b w:val="0"/>
              </w:rPr>
              <w:t>Diagnosing malpresentation, oligohydramnios, polyhydramnios, fetal distress, miscarriage, or fetal death.</w:t>
            </w:r>
          </w:p>
        </w:tc>
      </w:tr>
      <w:tr>
        <w:trPr>
          <w:cantSplit/>
        </w:trPr>
        <w:tc>
          <w:tcPr>
            <w:tcW w:type="dxa" w:w="4968"/>
            <w:vAlign w:val="center"/>
            <w:tcMar>
              <w:top w:w="70" w:type="dxa"/>
              <w:bottom w:w="70" w:type="dxa"/>
              <w:start w:w="80" w:type="dxa"/>
              <w:end w:w="80" w:type="dxa"/>
            </w:tcMar>
          </w:tcPr>
          <w:p>
            <w:pPr>
              <w:pStyle w:val="TableText"/>
            </w:pPr>
            <w:r/>
            <w:r>
              <w:rPr>
                <w:b w:val="0"/>
              </w:rPr>
              <w:t>Identifying incomplete or contradictory ultrasound records.</w:t>
            </w:r>
          </w:p>
        </w:tc>
        <w:tc>
          <w:tcPr>
            <w:tcW w:type="dxa" w:w="4968"/>
            <w:vAlign w:val="center"/>
            <w:tcMar>
              <w:top w:w="70" w:type="dxa"/>
              <w:bottom w:w="70" w:type="dxa"/>
              <w:start w:w="80" w:type="dxa"/>
              <w:end w:w="80" w:type="dxa"/>
            </w:tcMar>
          </w:tcPr>
          <w:p>
            <w:pPr>
              <w:pStyle w:val="TableText"/>
            </w:pPr>
            <w:r/>
            <w:r>
              <w:rPr>
                <w:b w:val="0"/>
              </w:rPr>
              <w:t>Choosing external cephalic version, induction, cesarean birth, medication, surveillance frequency, or timing of delivery.</w:t>
            </w:r>
          </w:p>
        </w:tc>
      </w:tr>
      <w:tr>
        <w:trPr>
          <w:cantSplit/>
        </w:trPr>
        <w:tc>
          <w:tcPr>
            <w:tcW w:type="dxa" w:w="4968"/>
            <w:vAlign w:val="center"/>
            <w:tcMar>
              <w:top w:w="70" w:type="dxa"/>
              <w:bottom w:w="70" w:type="dxa"/>
              <w:start w:w="80" w:type="dxa"/>
              <w:end w:w="80" w:type="dxa"/>
            </w:tcMar>
            <w:shd w:fill="EDF4FA"/>
          </w:tcPr>
          <w:p>
            <w:pPr>
              <w:pStyle w:val="TableText"/>
            </w:pPr>
            <w:r/>
            <w:r>
              <w:rPr>
                <w:b w:val="0"/>
              </w:rPr>
              <w:t>Supporting traceability to the report, examiner, date, and gestational age.</w:t>
            </w:r>
          </w:p>
        </w:tc>
        <w:tc>
          <w:tcPr>
            <w:tcW w:type="dxa" w:w="4968"/>
            <w:vAlign w:val="center"/>
            <w:tcMar>
              <w:top w:w="70" w:type="dxa"/>
              <w:bottom w:w="70" w:type="dxa"/>
              <w:start w:w="80" w:type="dxa"/>
              <w:end w:w="80" w:type="dxa"/>
            </w:tcMar>
            <w:shd w:fill="EDF4FA"/>
          </w:tcPr>
          <w:p>
            <w:pPr>
              <w:pStyle w:val="TableText"/>
            </w:pPr>
            <w:r/>
            <w:r>
              <w:rPr>
                <w:b w:val="0"/>
              </w:rPr>
              <w:t>Replacing a sonologist, radiologist, obstetrician, maternal-fetal medicine specialist, or emergency assessment.</w:t>
            </w:r>
          </w:p>
        </w:tc>
      </w:tr>
    </w:tbl>
    <w:p>
      <w:pPr>
        <w:spacing w:after="20"/>
      </w:pPr>
    </w:p>
    <w:p>
      <w:pPr>
        <w:pStyle w:val="Heading1"/>
      </w:pPr>
      <w:r>
        <w:t>2. Implemented Deterministic Rules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152"/>
            <w:vAlign w:val="center"/>
            <w:tcMar>
              <w:top w:w="70" w:type="dxa"/>
              <w:bottom w:w="70" w:type="dxa"/>
              <w:start w:w="80" w:type="dxa"/>
              <w:end w:w="80" w:type="dxa"/>
            </w:tcMar>
            <w:shd w:fill="17365D"/>
          </w:tcPr>
          <w:p>
            <w:pPr>
              <w:pStyle w:val="TableHeader"/>
            </w:pPr>
            <w:r/>
            <w:r>
              <w:rPr>
                <w:b/>
                <w:color w:val="FFFFFF"/>
              </w:rPr>
              <w:t>Rule ID</w:t>
            </w:r>
          </w:p>
        </w:tc>
        <w:tc>
          <w:tcPr>
            <w:tcW w:type="dxa" w:w="3384"/>
            <w:vAlign w:val="center"/>
            <w:tcMar>
              <w:top w:w="70" w:type="dxa"/>
              <w:bottom w:w="70" w:type="dxa"/>
              <w:start w:w="80" w:type="dxa"/>
              <w:end w:w="80" w:type="dxa"/>
            </w:tcMar>
            <w:shd w:fill="17365D"/>
          </w:tcPr>
          <w:p>
            <w:pPr>
              <w:pStyle w:val="TableHeader"/>
            </w:pPr>
            <w:r/>
            <w:r>
              <w:rPr>
                <w:b/>
                <w:color w:val="FFFFFF"/>
              </w:rPr>
              <w:t>Recorded condition</w:t>
            </w:r>
          </w:p>
        </w:tc>
        <w:tc>
          <w:tcPr>
            <w:tcW w:type="dxa" w:w="1944"/>
            <w:vAlign w:val="center"/>
            <w:tcMar>
              <w:top w:w="70" w:type="dxa"/>
              <w:bottom w:w="70" w:type="dxa"/>
              <w:start w:w="80" w:type="dxa"/>
              <w:end w:w="80" w:type="dxa"/>
            </w:tcMar>
            <w:shd w:fill="17365D"/>
          </w:tcPr>
          <w:p>
            <w:pPr>
              <w:pStyle w:val="TableHeader"/>
            </w:pPr>
            <w:r/>
            <w:r>
              <w:rPr>
                <w:b/>
                <w:color w:val="FFFFFF"/>
              </w:rPr>
              <w:t>Output</w:t>
            </w:r>
          </w:p>
        </w:tc>
        <w:tc>
          <w:tcPr>
            <w:tcW w:type="dxa" w:w="4104"/>
            <w:vAlign w:val="center"/>
            <w:tcMar>
              <w:top w:w="70" w:type="dxa"/>
              <w:bottom w:w="70" w:type="dxa"/>
              <w:start w:w="80" w:type="dxa"/>
              <w:end w:w="80" w:type="dxa"/>
            </w:tcMar>
            <w:shd w:fill="17365D"/>
          </w:tcPr>
          <w:p>
            <w:pPr>
              <w:pStyle w:val="TableHeader"/>
            </w:pPr>
            <w:r/>
            <w:r>
              <w:rPr>
                <w:b/>
                <w:color w:val="FFFFFF"/>
              </w:rPr>
              <w:t>Meaning</w:t>
            </w:r>
          </w:p>
        </w:tc>
      </w:tr>
      <w:tr>
        <w:trPr>
          <w:cantSplit/>
        </w:trPr>
        <w:tc>
          <w:tcPr>
            <w:tcW w:type="dxa" w:w="1152"/>
            <w:vAlign w:val="center"/>
            <w:tcMar>
              <w:top w:w="70" w:type="dxa"/>
              <w:bottom w:w="70" w:type="dxa"/>
              <w:start w:w="80" w:type="dxa"/>
              <w:end w:w="80" w:type="dxa"/>
            </w:tcMar>
          </w:tcPr>
          <w:p>
            <w:pPr>
              <w:pStyle w:val="TableText"/>
            </w:pPr>
            <w:r/>
            <w:r>
              <w:rPr>
                <w:b w:val="0"/>
              </w:rPr>
              <w:t>US-P01</w:t>
            </w:r>
          </w:p>
        </w:tc>
        <w:tc>
          <w:tcPr>
            <w:tcW w:type="dxa" w:w="3384"/>
            <w:vAlign w:val="center"/>
            <w:tcMar>
              <w:top w:w="70" w:type="dxa"/>
              <w:bottom w:w="70" w:type="dxa"/>
              <w:start w:w="80" w:type="dxa"/>
              <w:end w:w="80" w:type="dxa"/>
            </w:tcMar>
          </w:tcPr>
          <w:p>
            <w:pPr>
              <w:pStyle w:val="TableText"/>
            </w:pPr>
            <w:r/>
            <w:r>
              <w:rPr>
                <w:b w:val="0"/>
              </w:rPr>
              <w:t>Presentation = Breech, Transverse, or Oblique.</w:t>
            </w:r>
          </w:p>
        </w:tc>
        <w:tc>
          <w:tcPr>
            <w:tcW w:type="dxa" w:w="1944"/>
            <w:vAlign w:val="center"/>
            <w:tcMar>
              <w:top w:w="70" w:type="dxa"/>
              <w:bottom w:w="70" w:type="dxa"/>
              <w:start w:w="80" w:type="dxa"/>
              <w:end w:w="80" w:type="dxa"/>
            </w:tcMar>
          </w:tcPr>
          <w:p>
            <w:pPr>
              <w:pStyle w:val="TableText"/>
            </w:pPr>
            <w:r/>
            <w:r>
              <w:rPr>
                <w:b w:val="0"/>
              </w:rPr>
              <w:t>HIGH</w:t>
            </w:r>
          </w:p>
        </w:tc>
        <w:tc>
          <w:tcPr>
            <w:tcW w:type="dxa" w:w="4104"/>
            <w:vAlign w:val="center"/>
            <w:tcMar>
              <w:top w:w="70" w:type="dxa"/>
              <w:bottom w:w="70" w:type="dxa"/>
              <w:start w:w="80" w:type="dxa"/>
              <w:end w:w="80" w:type="dxa"/>
            </w:tcMar>
          </w:tcPr>
          <w:p>
            <w:pPr>
              <w:pStyle w:val="TableText"/>
            </w:pPr>
            <w:r/>
            <w:r>
              <w:rPr>
                <w:b w:val="0"/>
              </w:rPr>
              <w:t>Non-cephalic or unstable lie requires gestational-age-aware review and birth planning.</w:t>
            </w:r>
          </w:p>
        </w:tc>
      </w:tr>
      <w:tr>
        <w:trPr>
          <w:cantSplit/>
        </w:trPr>
        <w:tc>
          <w:tcPr>
            <w:tcW w:type="dxa" w:w="1152"/>
            <w:vAlign w:val="center"/>
            <w:tcMar>
              <w:top w:w="70" w:type="dxa"/>
              <w:bottom w:w="70" w:type="dxa"/>
              <w:start w:w="80" w:type="dxa"/>
              <w:end w:w="80" w:type="dxa"/>
            </w:tcMar>
            <w:shd w:fill="EDF4FA"/>
          </w:tcPr>
          <w:p>
            <w:pPr>
              <w:pStyle w:val="TableText"/>
            </w:pPr>
            <w:r/>
            <w:r>
              <w:rPr>
                <w:b w:val="0"/>
              </w:rPr>
              <w:t>US-AF01</w:t>
            </w:r>
          </w:p>
        </w:tc>
        <w:tc>
          <w:tcPr>
            <w:tcW w:type="dxa" w:w="3384"/>
            <w:vAlign w:val="center"/>
            <w:tcMar>
              <w:top w:w="70" w:type="dxa"/>
              <w:bottom w:w="70" w:type="dxa"/>
              <w:start w:w="80" w:type="dxa"/>
              <w:end w:w="80" w:type="dxa"/>
            </w:tcMar>
            <w:shd w:fill="EDF4FA"/>
          </w:tcPr>
          <w:p>
            <w:pPr>
              <w:pStyle w:val="TableText"/>
            </w:pPr>
            <w:r/>
            <w:r>
              <w:rPr>
                <w:b w:val="0"/>
              </w:rPr>
              <w:t>Amniotic fluid = Low or High.</w:t>
            </w:r>
          </w:p>
        </w:tc>
        <w:tc>
          <w:tcPr>
            <w:tcW w:type="dxa" w:w="1944"/>
            <w:vAlign w:val="center"/>
            <w:tcMar>
              <w:top w:w="70" w:type="dxa"/>
              <w:bottom w:w="70" w:type="dxa"/>
              <w:start w:w="80" w:type="dxa"/>
              <w:end w:w="80" w:type="dxa"/>
            </w:tcMar>
            <w:shd w:fill="EDF4FA"/>
          </w:tcPr>
          <w:p>
            <w:pPr>
              <w:pStyle w:val="TableText"/>
            </w:pPr>
            <w:r/>
            <w:r>
              <w:rPr>
                <w:b w:val="0"/>
              </w:rPr>
              <w:t>HIGH</w:t>
            </w:r>
          </w:p>
        </w:tc>
        <w:tc>
          <w:tcPr>
            <w:tcW w:type="dxa" w:w="4104"/>
            <w:vAlign w:val="center"/>
            <w:tcMar>
              <w:top w:w="70" w:type="dxa"/>
              <w:bottom w:w="70" w:type="dxa"/>
              <w:start w:w="80" w:type="dxa"/>
              <w:end w:w="80" w:type="dxa"/>
            </w:tcMar>
            <w:shd w:fill="EDF4FA"/>
          </w:tcPr>
          <w:p>
            <w:pPr>
              <w:pStyle w:val="TableText"/>
            </w:pPr>
            <w:r/>
            <w:r>
              <w:rPr>
                <w:b w:val="0"/>
              </w:rPr>
              <w:t>Abnormal fluid may reflect maternal, fetal, placental, or membrane-related conditions and needs clinical evaluation.</w:t>
            </w:r>
          </w:p>
        </w:tc>
      </w:tr>
      <w:tr>
        <w:trPr>
          <w:cantSplit/>
        </w:trPr>
        <w:tc>
          <w:tcPr>
            <w:tcW w:type="dxa" w:w="1152"/>
            <w:vAlign w:val="center"/>
            <w:tcMar>
              <w:top w:w="70" w:type="dxa"/>
              <w:bottom w:w="70" w:type="dxa"/>
              <w:start w:w="80" w:type="dxa"/>
              <w:end w:w="80" w:type="dxa"/>
            </w:tcMar>
          </w:tcPr>
          <w:p>
            <w:pPr>
              <w:pStyle w:val="TableText"/>
            </w:pPr>
            <w:r/>
            <w:r>
              <w:rPr>
                <w:b w:val="0"/>
              </w:rPr>
              <w:t>US-FH01</w:t>
            </w:r>
          </w:p>
        </w:tc>
        <w:tc>
          <w:tcPr>
            <w:tcW w:type="dxa" w:w="3384"/>
            <w:vAlign w:val="center"/>
            <w:tcMar>
              <w:top w:w="70" w:type="dxa"/>
              <w:bottom w:w="70" w:type="dxa"/>
              <w:start w:w="80" w:type="dxa"/>
              <w:end w:w="80" w:type="dxa"/>
            </w:tcMar>
          </w:tcPr>
          <w:p>
            <w:pPr>
              <w:pStyle w:val="TableText"/>
            </w:pPr>
            <w:r/>
            <w:r>
              <w:rPr>
                <w:b w:val="0"/>
              </w:rPr>
              <w:t>Fetal heartbeat = Weak, Abnormal, or Absent.</w:t>
            </w:r>
          </w:p>
        </w:tc>
        <w:tc>
          <w:tcPr>
            <w:tcW w:type="dxa" w:w="1944"/>
            <w:vAlign w:val="center"/>
            <w:tcMar>
              <w:top w:w="70" w:type="dxa"/>
              <w:bottom w:w="70" w:type="dxa"/>
              <w:start w:w="80" w:type="dxa"/>
              <w:end w:w="80" w:type="dxa"/>
            </w:tcMar>
          </w:tcPr>
          <w:p>
            <w:pPr>
              <w:pStyle w:val="TableText"/>
            </w:pPr>
            <w:r/>
            <w:r>
              <w:rPr>
                <w:b w:val="0"/>
              </w:rPr>
              <w:t>HIGH</w:t>
            </w:r>
          </w:p>
        </w:tc>
        <w:tc>
          <w:tcPr>
            <w:tcW w:type="dxa" w:w="4104"/>
            <w:vAlign w:val="center"/>
            <w:tcMar>
              <w:top w:w="70" w:type="dxa"/>
              <w:bottom w:w="70" w:type="dxa"/>
              <w:start w:w="80" w:type="dxa"/>
              <w:end w:w="80" w:type="dxa"/>
            </w:tcMar>
          </w:tcPr>
          <w:p>
            <w:pPr>
              <w:pStyle w:val="TableText"/>
            </w:pPr>
            <w:r/>
            <w:r>
              <w:rPr>
                <w:b w:val="0"/>
              </w:rPr>
              <w:t>Reported cardiac concern requires prompt verification and escalation appropriate to gestational age and symptoms.</w:t>
            </w:r>
          </w:p>
        </w:tc>
      </w:tr>
      <w:tr>
        <w:trPr>
          <w:cantSplit/>
        </w:trPr>
        <w:tc>
          <w:tcPr>
            <w:tcW w:type="dxa" w:w="1152"/>
            <w:vAlign w:val="center"/>
            <w:tcMar>
              <w:top w:w="70" w:type="dxa"/>
              <w:bottom w:w="70" w:type="dxa"/>
              <w:start w:w="80" w:type="dxa"/>
              <w:end w:w="80" w:type="dxa"/>
            </w:tcMar>
            <w:shd w:fill="EDF4FA"/>
          </w:tcPr>
          <w:p>
            <w:pPr>
              <w:pStyle w:val="TableText"/>
            </w:pPr>
            <w:r/>
            <w:r>
              <w:rPr>
                <w:b w:val="0"/>
              </w:rPr>
              <w:t>US-00</w:t>
            </w:r>
          </w:p>
        </w:tc>
        <w:tc>
          <w:tcPr>
            <w:tcW w:type="dxa" w:w="3384"/>
            <w:vAlign w:val="center"/>
            <w:tcMar>
              <w:top w:w="70" w:type="dxa"/>
              <w:bottom w:w="70" w:type="dxa"/>
              <w:start w:w="80" w:type="dxa"/>
              <w:end w:w="80" w:type="dxa"/>
            </w:tcMar>
            <w:shd w:fill="EDF4FA"/>
          </w:tcPr>
          <w:p>
            <w:pPr>
              <w:pStyle w:val="TableText"/>
            </w:pPr>
            <w:r/>
            <w:r>
              <w:rPr>
                <w:b w:val="0"/>
              </w:rPr>
              <w:t>Presentation cephalic, fluid normal, heartbeat normal, with no other factor.</w:t>
            </w:r>
          </w:p>
        </w:tc>
        <w:tc>
          <w:tcPr>
            <w:tcW w:type="dxa" w:w="1944"/>
            <w:vAlign w:val="center"/>
            <w:tcMar>
              <w:top w:w="70" w:type="dxa"/>
              <w:bottom w:w="70" w:type="dxa"/>
              <w:start w:w="80" w:type="dxa"/>
              <w:end w:w="80" w:type="dxa"/>
            </w:tcMar>
            <w:shd w:fill="EDF4FA"/>
          </w:tcPr>
          <w:p>
            <w:pPr>
              <w:pStyle w:val="TableText"/>
            </w:pPr>
            <w:r/>
            <w:r>
              <w:rPr>
                <w:b w:val="0"/>
              </w:rPr>
              <w:t>No ultrasound-based override</w:t>
            </w:r>
          </w:p>
        </w:tc>
        <w:tc>
          <w:tcPr>
            <w:tcW w:type="dxa" w:w="4104"/>
            <w:vAlign w:val="center"/>
            <w:tcMar>
              <w:top w:w="70" w:type="dxa"/>
              <w:bottom w:w="70" w:type="dxa"/>
              <w:start w:w="80" w:type="dxa"/>
              <w:end w:w="80" w:type="dxa"/>
            </w:tcMar>
            <w:shd w:fill="EDF4FA"/>
          </w:tcPr>
          <w:p>
            <w:pPr>
              <w:pStyle w:val="TableText"/>
            </w:pPr>
            <w:r/>
            <w:r>
              <w:rPr>
                <w:b w:val="0"/>
              </w:rPr>
              <w:t>Final result still depends on all records, other rules, and valid ML output.</w:t>
            </w:r>
          </w:p>
        </w:tc>
      </w:tr>
      <w:tr>
        <w:trPr>
          <w:cantSplit/>
        </w:trPr>
        <w:tc>
          <w:tcPr>
            <w:tcW w:type="dxa" w:w="1152"/>
            <w:vAlign w:val="center"/>
            <w:tcMar>
              <w:top w:w="70" w:type="dxa"/>
              <w:bottom w:w="70" w:type="dxa"/>
              <w:start w:w="80" w:type="dxa"/>
              <w:end w:w="80" w:type="dxa"/>
            </w:tcMar>
          </w:tcPr>
          <w:p>
            <w:pPr>
              <w:pStyle w:val="TableText"/>
            </w:pPr>
            <w:r/>
            <w:r>
              <w:rPr>
                <w:b w:val="0"/>
              </w:rPr>
              <w:t>US-INC</w:t>
            </w:r>
          </w:p>
        </w:tc>
        <w:tc>
          <w:tcPr>
            <w:tcW w:type="dxa" w:w="3384"/>
            <w:vAlign w:val="center"/>
            <w:tcMar>
              <w:top w:w="70" w:type="dxa"/>
              <w:bottom w:w="70" w:type="dxa"/>
              <w:start w:w="80" w:type="dxa"/>
              <w:end w:w="80" w:type="dxa"/>
            </w:tcMar>
          </w:tcPr>
          <w:p>
            <w:pPr>
              <w:pStyle w:val="TableText"/>
            </w:pPr>
            <w:r/>
            <w:r>
              <w:rPr>
                <w:b w:val="0"/>
              </w:rPr>
              <w:t>Ultrasound missing, values blank/unknown, contradictory, or report provenance unavailable.</w:t>
            </w:r>
          </w:p>
        </w:tc>
        <w:tc>
          <w:tcPr>
            <w:tcW w:type="dxa" w:w="1944"/>
            <w:vAlign w:val="center"/>
            <w:tcMar>
              <w:top w:w="70" w:type="dxa"/>
              <w:bottom w:w="70" w:type="dxa"/>
              <w:start w:w="80" w:type="dxa"/>
              <w:end w:w="80" w:type="dxa"/>
            </w:tcMar>
          </w:tcPr>
          <w:p>
            <w:pPr>
              <w:pStyle w:val="TableText"/>
            </w:pPr>
            <w:r/>
            <w:r>
              <w:rPr>
                <w:b w:val="0"/>
              </w:rPr>
              <w:t>ASSESSMENT INCOMPLETE</w:t>
            </w:r>
          </w:p>
        </w:tc>
        <w:tc>
          <w:tcPr>
            <w:tcW w:type="dxa" w:w="4104"/>
            <w:vAlign w:val="center"/>
            <w:tcMar>
              <w:top w:w="70" w:type="dxa"/>
              <w:bottom w:w="70" w:type="dxa"/>
              <w:start w:w="80" w:type="dxa"/>
              <w:end w:w="80" w:type="dxa"/>
            </w:tcMar>
          </w:tcPr>
          <w:p>
            <w:pPr>
              <w:pStyle w:val="TableText"/>
            </w:pPr>
            <w:r/>
            <w:r>
              <w:rPr>
                <w:b w:val="0"/>
              </w:rPr>
              <w:t>Do not infer normality.</w:t>
            </w:r>
          </w:p>
        </w:tc>
      </w:tr>
    </w:tbl>
    <w:p>
      <w:pPr>
        <w:spacing w:after="20"/>
      </w:pPr>
    </w:p>
    <w:p>
      <w:pPr>
        <w:pStyle w:val="Heading1"/>
      </w:pPr>
      <w:r>
        <w:t>3. Data Semantics and Timing</w:t>
      </w:r>
    </w:p>
    <w:p>
      <w:r>
        <w:t>The clinical meaning of an ultrasound finding depends on gestational age, examination type, measurement method, report wording, current symptoms, and whether the finding persists. A breech presentation at 24 weeks is not equivalent to breech at term. A cardiac-activity entry in early pregnancy is not interpreted the same way as intrapartum fetal-heart-rate monitoring. A fluid category without AFI or deepest vertical pocket and date cannot establish severity.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vAlign w:val="center"/>
            <w:tcMar>
              <w:top w:w="70" w:type="dxa"/>
              <w:bottom w:w="70" w:type="dxa"/>
              <w:start w:w="80" w:type="dxa"/>
              <w:end w:w="80" w:type="dxa"/>
            </w:tcMar>
            <w:shd w:fill="17365D"/>
          </w:tcPr>
          <w:p>
            <w:pPr>
              <w:pStyle w:val="TableHeader"/>
            </w:pPr>
            <w:r/>
            <w:r>
              <w:rPr>
                <w:b/>
                <w:color w:val="FFFFFF"/>
              </w:rPr>
              <w:t>Field</w:t>
            </w:r>
          </w:p>
        </w:tc>
        <w:tc>
          <w:tcPr>
            <w:tcW w:type="dxa" w:w="4896"/>
            <w:vAlign w:val="center"/>
            <w:tcMar>
              <w:top w:w="70" w:type="dxa"/>
              <w:bottom w:w="70" w:type="dxa"/>
              <w:start w:w="80" w:type="dxa"/>
              <w:end w:w="80" w:type="dxa"/>
            </w:tcMar>
            <w:shd w:fill="17365D"/>
          </w:tcPr>
          <w:p>
            <w:pPr>
              <w:pStyle w:val="TableHeader"/>
            </w:pPr>
            <w:r/>
            <w:r>
              <w:rPr>
                <w:b/>
                <w:color w:val="FFFFFF"/>
              </w:rPr>
              <w:t>Minimum interpretation context</w:t>
            </w:r>
          </w:p>
        </w:tc>
        <w:tc>
          <w:tcPr>
            <w:tcW w:type="dxa" w:w="4248"/>
            <w:vAlign w:val="center"/>
            <w:tcMar>
              <w:top w:w="70" w:type="dxa"/>
              <w:bottom w:w="70" w:type="dxa"/>
              <w:start w:w="80" w:type="dxa"/>
              <w:end w:w="80" w:type="dxa"/>
            </w:tcMar>
            <w:shd w:fill="17365D"/>
          </w:tcPr>
          <w:p>
            <w:pPr>
              <w:pStyle w:val="TableHeader"/>
            </w:pPr>
            <w:r/>
            <w:r>
              <w:rPr>
                <w:b/>
                <w:color w:val="FFFFFF"/>
              </w:rPr>
              <w:t>Current limitation</w:t>
            </w:r>
          </w:p>
        </w:tc>
      </w:tr>
      <w:tr>
        <w:trPr>
          <w:cantSplit/>
        </w:trPr>
        <w:tc>
          <w:tcPr>
            <w:tcW w:type="dxa" w:w="2088"/>
            <w:vAlign w:val="center"/>
            <w:tcMar>
              <w:top w:w="70" w:type="dxa"/>
              <w:bottom w:w="70" w:type="dxa"/>
              <w:start w:w="80" w:type="dxa"/>
              <w:end w:w="80" w:type="dxa"/>
            </w:tcMar>
          </w:tcPr>
          <w:p>
            <w:pPr>
              <w:pStyle w:val="TableText"/>
            </w:pPr>
            <w:r/>
            <w:r>
              <w:rPr>
                <w:b w:val="0"/>
              </w:rPr>
              <w:t>Fetal presentation</w:t>
            </w:r>
          </w:p>
        </w:tc>
        <w:tc>
          <w:tcPr>
            <w:tcW w:type="dxa" w:w="4896"/>
            <w:vAlign w:val="center"/>
            <w:tcMar>
              <w:top w:w="70" w:type="dxa"/>
              <w:bottom w:w="70" w:type="dxa"/>
              <w:start w:w="80" w:type="dxa"/>
              <w:end w:w="80" w:type="dxa"/>
            </w:tcMar>
          </w:tcPr>
          <w:p>
            <w:pPr>
              <w:pStyle w:val="TableText"/>
            </w:pPr>
            <w:r/>
            <w:r>
              <w:rPr>
                <w:b w:val="0"/>
              </w:rPr>
              <w:t>Gestational age, singleton/multiple pregnancy, date, examiner, and persistence near term.</w:t>
            </w:r>
          </w:p>
        </w:tc>
        <w:tc>
          <w:tcPr>
            <w:tcW w:type="dxa" w:w="4248"/>
            <w:vAlign w:val="center"/>
            <w:tcMar>
              <w:top w:w="70" w:type="dxa"/>
              <w:bottom w:w="70" w:type="dxa"/>
              <w:start w:w="80" w:type="dxa"/>
              <w:end w:w="80" w:type="dxa"/>
            </w:tcMar>
          </w:tcPr>
          <w:p>
            <w:pPr>
              <w:pStyle w:val="TableText"/>
            </w:pPr>
            <w:r/>
            <w:r>
              <w:rPr>
                <w:b w:val="0"/>
              </w:rPr>
              <w:t>Current rule may classify early transient non-cephalic presentation HIGH.</w:t>
            </w:r>
          </w:p>
        </w:tc>
      </w:tr>
      <w:tr>
        <w:trPr>
          <w:cantSplit/>
        </w:trPr>
        <w:tc>
          <w:tcPr>
            <w:tcW w:type="dxa" w:w="2088"/>
            <w:vAlign w:val="center"/>
            <w:tcMar>
              <w:top w:w="70" w:type="dxa"/>
              <w:bottom w:w="70" w:type="dxa"/>
              <w:start w:w="80" w:type="dxa"/>
              <w:end w:w="80" w:type="dxa"/>
            </w:tcMar>
            <w:shd w:fill="EDF4FA"/>
          </w:tcPr>
          <w:p>
            <w:pPr>
              <w:pStyle w:val="TableText"/>
            </w:pPr>
            <w:r/>
            <w:r>
              <w:rPr>
                <w:b w:val="0"/>
              </w:rPr>
              <w:t>Amniotic fluid</w:t>
            </w:r>
          </w:p>
        </w:tc>
        <w:tc>
          <w:tcPr>
            <w:tcW w:type="dxa" w:w="4896"/>
            <w:vAlign w:val="center"/>
            <w:tcMar>
              <w:top w:w="70" w:type="dxa"/>
              <w:bottom w:w="70" w:type="dxa"/>
              <w:start w:w="80" w:type="dxa"/>
              <w:end w:w="80" w:type="dxa"/>
            </w:tcMar>
            <w:shd w:fill="EDF4FA"/>
          </w:tcPr>
          <w:p>
            <w:pPr>
              <w:pStyle w:val="TableText"/>
            </w:pPr>
            <w:r/>
            <w:r>
              <w:rPr>
                <w:b w:val="0"/>
              </w:rPr>
              <w:t>Measurement method, numeric value, unit, date, gestational age, and report impression.</w:t>
            </w:r>
          </w:p>
        </w:tc>
        <w:tc>
          <w:tcPr>
            <w:tcW w:type="dxa" w:w="4248"/>
            <w:vAlign w:val="center"/>
            <w:tcMar>
              <w:top w:w="70" w:type="dxa"/>
              <w:bottom w:w="70" w:type="dxa"/>
              <w:start w:w="80" w:type="dxa"/>
              <w:end w:w="80" w:type="dxa"/>
            </w:tcMar>
            <w:shd w:fill="EDF4FA"/>
          </w:tcPr>
          <w:p>
            <w:pPr>
              <w:pStyle w:val="TableText"/>
            </w:pPr>
            <w:r/>
            <w:r>
              <w:rPr>
                <w:b w:val="0"/>
              </w:rPr>
              <w:t>Current field stores Low/Normal/High only.</w:t>
            </w:r>
          </w:p>
        </w:tc>
      </w:tr>
      <w:tr>
        <w:trPr>
          <w:cantSplit/>
        </w:trPr>
        <w:tc>
          <w:tcPr>
            <w:tcW w:type="dxa" w:w="2088"/>
            <w:vAlign w:val="center"/>
            <w:tcMar>
              <w:top w:w="70" w:type="dxa"/>
              <w:bottom w:w="70" w:type="dxa"/>
              <w:start w:w="80" w:type="dxa"/>
              <w:end w:w="80" w:type="dxa"/>
            </w:tcMar>
          </w:tcPr>
          <w:p>
            <w:pPr>
              <w:pStyle w:val="TableText"/>
            </w:pPr>
            <w:r/>
            <w:r>
              <w:rPr>
                <w:b w:val="0"/>
              </w:rPr>
              <w:t>Fetal heartbeat</w:t>
            </w:r>
          </w:p>
        </w:tc>
        <w:tc>
          <w:tcPr>
            <w:tcW w:type="dxa" w:w="4896"/>
            <w:vAlign w:val="center"/>
            <w:tcMar>
              <w:top w:w="70" w:type="dxa"/>
              <w:bottom w:w="70" w:type="dxa"/>
              <w:start w:w="80" w:type="dxa"/>
              <w:end w:w="80" w:type="dxa"/>
            </w:tcMar>
          </w:tcPr>
          <w:p>
            <w:pPr>
              <w:pStyle w:val="TableText"/>
            </w:pPr>
            <w:r/>
            <w:r>
              <w:rPr>
                <w:b w:val="0"/>
              </w:rPr>
              <w:t>Whether cardiac activity was visualized, measured heart rate, scan route, gestational age, report impression, and whether confirmation was advised.</w:t>
            </w:r>
          </w:p>
        </w:tc>
        <w:tc>
          <w:tcPr>
            <w:tcW w:type="dxa" w:w="4248"/>
            <w:vAlign w:val="center"/>
            <w:tcMar>
              <w:top w:w="70" w:type="dxa"/>
              <w:bottom w:w="70" w:type="dxa"/>
              <w:start w:w="80" w:type="dxa"/>
              <w:end w:w="80" w:type="dxa"/>
            </w:tcMar>
          </w:tcPr>
          <w:p>
            <w:pPr>
              <w:pStyle w:val="TableText"/>
            </w:pPr>
            <w:r/>
            <w:r>
              <w:rPr>
                <w:b w:val="0"/>
              </w:rPr>
              <w:t>Weak/Abnormal are vague and Absent may require repeat assessment.</w:t>
            </w:r>
          </w:p>
        </w:tc>
      </w:tr>
      <w:tr>
        <w:trPr>
          <w:cantSplit/>
        </w:trPr>
        <w:tc>
          <w:tcPr>
            <w:tcW w:type="dxa" w:w="2088"/>
            <w:vAlign w:val="center"/>
            <w:tcMar>
              <w:top w:w="70" w:type="dxa"/>
              <w:bottom w:w="70" w:type="dxa"/>
              <w:start w:w="80" w:type="dxa"/>
              <w:end w:w="80" w:type="dxa"/>
            </w:tcMar>
            <w:shd w:fill="EDF4FA"/>
          </w:tcPr>
          <w:p>
            <w:pPr>
              <w:pStyle w:val="TableText"/>
            </w:pPr>
            <w:r/>
            <w:r>
              <w:rPr>
                <w:b w:val="0"/>
              </w:rPr>
              <w:t>Report source</w:t>
            </w:r>
          </w:p>
        </w:tc>
        <w:tc>
          <w:tcPr>
            <w:tcW w:type="dxa" w:w="4896"/>
            <w:vAlign w:val="center"/>
            <w:tcMar>
              <w:top w:w="70" w:type="dxa"/>
              <w:bottom w:w="70" w:type="dxa"/>
              <w:start w:w="80" w:type="dxa"/>
              <w:end w:w="80" w:type="dxa"/>
            </w:tcMar>
            <w:shd w:fill="EDF4FA"/>
          </w:tcPr>
          <w:p>
            <w:pPr>
              <w:pStyle w:val="TableText"/>
            </w:pPr>
            <w:r/>
            <w:r>
              <w:rPr>
                <w:b w:val="0"/>
              </w:rPr>
              <w:t>Facility, qualified examiner, report date, signed impression, and attachment/reference.</w:t>
            </w:r>
          </w:p>
        </w:tc>
        <w:tc>
          <w:tcPr>
            <w:tcW w:type="dxa" w:w="4248"/>
            <w:vAlign w:val="center"/>
            <w:tcMar>
              <w:top w:w="70" w:type="dxa"/>
              <w:bottom w:w="70" w:type="dxa"/>
              <w:start w:w="80" w:type="dxa"/>
              <w:end w:w="80" w:type="dxa"/>
            </w:tcMar>
            <w:shd w:fill="EDF4FA"/>
          </w:tcPr>
          <w:p>
            <w:pPr>
              <w:pStyle w:val="TableText"/>
            </w:pPr>
            <w:r/>
            <w:r>
              <w:rPr>
                <w:b w:val="0"/>
              </w:rPr>
              <w:t>Manual transcription can introduce error.</w:t>
            </w:r>
          </w:p>
        </w:tc>
      </w:tr>
    </w:tbl>
    <w:p>
      <w:pPr>
        <w:spacing w:after="20"/>
      </w:pPr>
    </w:p>
    <w:tbl>
      <w:tblPr>
        <w:tblW w:type="auto" w:w="0"/>
        <w:tblLook w:firstColumn="1" w:firstRow="1" w:lastColumn="0" w:lastRow="0" w:noHBand="0" w:noVBand="1" w:val="04A0"/>
      </w:tblPr>
      <w:tblGrid>
        <w:gridCol w:w="10080"/>
      </w:tblGrid>
      <w:tr>
        <w:tc>
          <w:tcPr>
            <w:tcW w:type="dxa" w:w="10080"/>
            <w:shd w:fill="F2F2F2"/>
            <w:tcBorders>
              <w:top w:val="single" w:sz="8" w:color="666666"/>
              <w:left w:val="single" w:sz="8" w:color="666666"/>
              <w:bottom w:val="single" w:sz="8" w:color="666666"/>
              <w:right w:val="single" w:sz="8" w:color="666666"/>
            </w:tcBorders>
            <w:tcMar>
              <w:top w:w="110" w:type="dxa"/>
              <w:bottom w:w="110" w:type="dxa"/>
              <w:start w:w="120" w:type="dxa"/>
              <w:end w:w="120" w:type="dxa"/>
            </w:tcMar>
          </w:tcPr>
          <w:p>
            <w:pPr>
              <w:pStyle w:val="Callout"/>
            </w:pPr>
            <w:r/>
            <w:r>
              <w:rPr>
                <w:b/>
                <w:color w:val="666666"/>
              </w:rPr>
              <w:t>Configuration limitation</w:t>
              <w:br/>
            </w:r>
            <w:r>
              <w:t>The current deterministic rules are intentionally broad. They are suitable for a conservative referral-support prototype, but they are not sufficiently detailed for autonomous clinical management. Future logic must be gestational-age-aware and measurement-based.</w:t>
            </w:r>
          </w:p>
        </w:tc>
      </w:tr>
    </w:tbl>
    <w:p>
      <w:pPr>
        <w:spacing w:after="20"/>
      </w:pPr>
    </w:p>
    <w:p>
      <w:pPr>
        <w:pStyle w:val="Heading1"/>
      </w:pPr>
      <w:r>
        <w:t>4. Fetal Presentation</w:t>
      </w:r>
    </w:p>
    <w:p>
      <w:pPr>
        <w:pStyle w:val="Heading2"/>
      </w:pPr>
      <w:r>
        <w:t>4.1 Evidence and clinical meaning</w:t>
      </w:r>
    </w:p>
    <w:p>
      <w:r>
        <w:t>A vertex or cephalic presentation is usual near term. Breech presentation places the buttocks, feet, or both first; transverse lie places the fetus across the uterus; oblique lie is diagonal and may be unstable. ACOG reports that breech occurs in approximately 3-4% of full-term births and recommends confirmation by examination or ultrasound. ISUOG includes fetal presentation in the third-trimester scan checklist.</w:t>
      </w:r>
    </w:p>
    <w:p>
      <w:pPr>
        <w:pStyle w:val="ListBullet"/>
        <w:spacing w:after="40"/>
      </w:pPr>
      <w:r>
        <w:t>Presentation commonly changes earlier in pregnancy, so timing is essential.</w:t>
      </w:r>
    </w:p>
    <w:p>
      <w:pPr>
        <w:pStyle w:val="ListBullet"/>
        <w:spacing w:after="40"/>
      </w:pPr>
      <w:r>
        <w:t>Persistent breech or transverse presentation near term affects birth planning and may require hospital-based management.</w:t>
      </w:r>
    </w:p>
    <w:p>
      <w:pPr>
        <w:pStyle w:val="ListBullet"/>
        <w:spacing w:after="40"/>
      </w:pPr>
      <w:r>
        <w:t>External cephalic version is a clinician-performed procedure with fetal monitoring and rapid cesarean capability if complications occur.</w:t>
      </w:r>
    </w:p>
    <w:p>
      <w:pPr>
        <w:pStyle w:val="ListBullet"/>
        <w:spacing w:after="40"/>
      </w:pPr>
      <w:r>
        <w:t>Planned vaginal breech birth may be considered only in selected circumstances with experienced teams and protocol-based hospital resources.</w:t>
      </w:r>
    </w:p>
    <w:p>
      <w:pPr>
        <w:pStyle w:val="ListBullet"/>
        <w:spacing w:after="40"/>
      </w:pPr>
      <w:r>
        <w:t>Transverse lie at labour generally cannot proceed as routine vaginal birth and carries risks including cord prolapse after membrane rupture.</w:t>
      </w:r>
    </w:p>
    <w:p>
      <w:pPr>
        <w:pStyle w:val="Heading2"/>
      </w:pPr>
      <w:r>
        <w:t>4.2 Rule justification and boundary</w:t>
      </w:r>
    </w:p>
    <w:tbl>
      <w:tblPr>
        <w:tblW w:type="auto" w:w="0"/>
        <w:tblLook w:firstColumn="1" w:firstRow="1" w:lastColumn="0" w:lastRow="0" w:noHBand="0" w:noVBand="1" w:val="04A0"/>
      </w:tblPr>
      <w:tblGrid>
        <w:gridCol w:w="10080"/>
      </w:tblGrid>
      <w:tr>
        <w:tc>
          <w:tcPr>
            <w:tcW w:type="dxa" w:w="10080"/>
            <w:shd w:fill="E2F0D9"/>
            <w:tcBorders>
              <w:top w:val="single" w:sz="8" w:color="548235"/>
              <w:left w:val="single" w:sz="8" w:color="548235"/>
              <w:bottom w:val="single" w:sz="8" w:color="548235"/>
              <w:right w:val="single" w:sz="8" w:color="548235"/>
            </w:tcBorders>
            <w:tcMar>
              <w:top w:w="110" w:type="dxa"/>
              <w:bottom w:w="110" w:type="dxa"/>
              <w:start w:w="120" w:type="dxa"/>
              <w:end w:w="120" w:type="dxa"/>
            </w:tcMar>
          </w:tcPr>
          <w:p>
            <w:pPr>
              <w:pStyle w:val="Callout"/>
            </w:pPr>
            <w:r/>
            <w:r>
              <w:rPr>
                <w:b/>
                <w:color w:val="548235"/>
              </w:rPr>
              <w:t>US-P01 rationale</w:t>
              <w:br/>
            </w:r>
            <w:r>
              <w:t>The lying-in clinic is designed for uncomplicated normal delivery. Recording breech, transverse, or oblique presentation therefore activates HIGH to prompt obstetric review and hospital birth planning. HIGH does not mean that the software has decided cesarean birth, and it must not recommend external cephalic version.</w:t>
            </w:r>
          </w:p>
        </w:tc>
      </w:tr>
    </w:tbl>
    <w:p>
      <w:pPr>
        <w:spacing w:after="20"/>
      </w:pPr>
    </w:p>
    <w:p>
      <w:pPr>
        <w:pStyle w:val="Heading1"/>
      </w:pPr>
      <w:r>
        <w:t>5. Amniotic Fluid Volume</w:t>
      </w:r>
    </w:p>
    <w:p>
      <w:pPr>
        <w:pStyle w:val="Heading2"/>
      </w:pPr>
      <w:r>
        <w:t>5.1 Measurement and definitions</w:t>
      </w:r>
    </w:p>
    <w:p>
      <w:r>
        <w:t>Amniotic fluid is commonly estimated using the single deepest vertical pocket or the amniotic fluid index. Report terminology and thresholds must be interpreted by qualified clinicians. ACOG describes isolated oligohydramnios using a single deepest vertical pocket below 2 cm. For polyhydramnios, ACOG categorizes severity using deepest vertical pocket or AFI ranges; moderate or severe polyhydramnios may warrant antenatal surveillance.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232"/>
            <w:vAlign w:val="center"/>
            <w:tcMar>
              <w:top w:w="70" w:type="dxa"/>
              <w:bottom w:w="70" w:type="dxa"/>
              <w:start w:w="80" w:type="dxa"/>
              <w:end w:w="80" w:type="dxa"/>
            </w:tcMar>
            <w:shd w:fill="17365D"/>
          </w:tcPr>
          <w:p>
            <w:pPr>
              <w:pStyle w:val="TableHeader"/>
            </w:pPr>
            <w:r/>
            <w:r>
              <w:rPr>
                <w:b/>
                <w:color w:val="FFFFFF"/>
              </w:rPr>
              <w:t>Finding</w:t>
            </w:r>
          </w:p>
        </w:tc>
        <w:tc>
          <w:tcPr>
            <w:tcW w:type="dxa" w:w="4536"/>
            <w:vAlign w:val="center"/>
            <w:tcMar>
              <w:top w:w="70" w:type="dxa"/>
              <w:bottom w:w="70" w:type="dxa"/>
              <w:start w:w="80" w:type="dxa"/>
              <w:end w:w="80" w:type="dxa"/>
            </w:tcMar>
            <w:shd w:fill="17365D"/>
          </w:tcPr>
          <w:p>
            <w:pPr>
              <w:pStyle w:val="TableHeader"/>
            </w:pPr>
            <w:r/>
            <w:r>
              <w:rPr>
                <w:b/>
                <w:color w:val="FFFFFF"/>
              </w:rPr>
              <w:t>Examples of clinical associations</w:t>
            </w:r>
          </w:p>
        </w:tc>
        <w:tc>
          <w:tcPr>
            <w:tcW w:type="dxa" w:w="4680"/>
            <w:vAlign w:val="center"/>
            <w:tcMar>
              <w:top w:w="70" w:type="dxa"/>
              <w:bottom w:w="70" w:type="dxa"/>
              <w:start w:w="80" w:type="dxa"/>
              <w:end w:w="80" w:type="dxa"/>
            </w:tcMar>
            <w:shd w:fill="17365D"/>
          </w:tcPr>
          <w:p>
            <w:pPr>
              <w:pStyle w:val="TableHeader"/>
            </w:pPr>
            <w:r/>
            <w:r>
              <w:rPr>
                <w:b/>
                <w:color w:val="FFFFFF"/>
              </w:rPr>
              <w:t>Why referral-oriented review is needed</w:t>
            </w:r>
          </w:p>
        </w:tc>
      </w:tr>
      <w:tr>
        <w:trPr>
          <w:cantSplit/>
        </w:trPr>
        <w:tc>
          <w:tcPr>
            <w:tcW w:type="dxa" w:w="2232"/>
            <w:vAlign w:val="center"/>
            <w:tcMar>
              <w:top w:w="70" w:type="dxa"/>
              <w:bottom w:w="70" w:type="dxa"/>
              <w:start w:w="80" w:type="dxa"/>
              <w:end w:w="80" w:type="dxa"/>
            </w:tcMar>
          </w:tcPr>
          <w:p>
            <w:pPr>
              <w:pStyle w:val="TableText"/>
            </w:pPr>
            <w:r/>
            <w:r>
              <w:rPr>
                <w:b w:val="0"/>
              </w:rPr>
              <w:t>Low fluid / oligohydramnios</w:t>
            </w:r>
          </w:p>
        </w:tc>
        <w:tc>
          <w:tcPr>
            <w:tcW w:type="dxa" w:w="4536"/>
            <w:vAlign w:val="center"/>
            <w:tcMar>
              <w:top w:w="70" w:type="dxa"/>
              <w:bottom w:w="70" w:type="dxa"/>
              <w:start w:w="80" w:type="dxa"/>
              <w:end w:w="80" w:type="dxa"/>
            </w:tcMar>
          </w:tcPr>
          <w:p>
            <w:pPr>
              <w:pStyle w:val="TableText"/>
            </w:pPr>
            <w:r/>
            <w:r>
              <w:rPr>
                <w:b w:val="0"/>
              </w:rPr>
              <w:t>Membrane rupture, placental insufficiency, fetal urinary tract abnormality, fetal growth restriction, post-term pregnancy, or medication effects.</w:t>
            </w:r>
          </w:p>
        </w:tc>
        <w:tc>
          <w:tcPr>
            <w:tcW w:type="dxa" w:w="4680"/>
            <w:vAlign w:val="center"/>
            <w:tcMar>
              <w:top w:w="70" w:type="dxa"/>
              <w:bottom w:w="70" w:type="dxa"/>
              <w:start w:w="80" w:type="dxa"/>
              <w:end w:w="80" w:type="dxa"/>
            </w:tcMar>
          </w:tcPr>
          <w:p>
            <w:pPr>
              <w:pStyle w:val="TableText"/>
            </w:pPr>
            <w:r/>
            <w:r>
              <w:rPr>
                <w:b w:val="0"/>
              </w:rPr>
              <w:t>May require confirmation, fetal-growth and well-being assessment, membrane evaluation, and delivery planning.</w:t>
            </w:r>
          </w:p>
        </w:tc>
      </w:tr>
      <w:tr>
        <w:trPr>
          <w:cantSplit/>
        </w:trPr>
        <w:tc>
          <w:tcPr>
            <w:tcW w:type="dxa" w:w="2232"/>
            <w:vAlign w:val="center"/>
            <w:tcMar>
              <w:top w:w="70" w:type="dxa"/>
              <w:bottom w:w="70" w:type="dxa"/>
              <w:start w:w="80" w:type="dxa"/>
              <w:end w:w="80" w:type="dxa"/>
            </w:tcMar>
            <w:shd w:fill="EDF4FA"/>
          </w:tcPr>
          <w:p>
            <w:pPr>
              <w:pStyle w:val="TableText"/>
            </w:pPr>
            <w:r/>
            <w:r>
              <w:rPr>
                <w:b w:val="0"/>
              </w:rPr>
              <w:t>High fluid / polyhydramnios</w:t>
            </w:r>
          </w:p>
        </w:tc>
        <w:tc>
          <w:tcPr>
            <w:tcW w:type="dxa" w:w="4536"/>
            <w:vAlign w:val="center"/>
            <w:tcMar>
              <w:top w:w="70" w:type="dxa"/>
              <w:bottom w:w="70" w:type="dxa"/>
              <w:start w:w="80" w:type="dxa"/>
              <w:end w:w="80" w:type="dxa"/>
            </w:tcMar>
            <w:shd w:fill="EDF4FA"/>
          </w:tcPr>
          <w:p>
            <w:pPr>
              <w:pStyle w:val="TableText"/>
            </w:pPr>
            <w:r/>
            <w:r>
              <w:rPr>
                <w:b w:val="0"/>
              </w:rPr>
              <w:t>Maternal diabetes, fetal anomaly affecting swallowing, fetal anemia/infection, multiple pregnancy, or idiopathic cases.</w:t>
            </w:r>
          </w:p>
        </w:tc>
        <w:tc>
          <w:tcPr>
            <w:tcW w:type="dxa" w:w="4680"/>
            <w:vAlign w:val="center"/>
            <w:tcMar>
              <w:top w:w="70" w:type="dxa"/>
              <w:bottom w:w="70" w:type="dxa"/>
              <w:start w:w="80" w:type="dxa"/>
              <w:end w:w="80" w:type="dxa"/>
            </w:tcMar>
            <w:shd w:fill="EDF4FA"/>
          </w:tcPr>
          <w:p>
            <w:pPr>
              <w:pStyle w:val="TableText"/>
            </w:pPr>
            <w:r/>
            <w:r>
              <w:rPr>
                <w:b w:val="0"/>
              </w:rPr>
              <w:t>Severity and cause affect surveillance, preterm labour risk, malpresentation, cord prolapse, and birth planning.</w:t>
            </w:r>
          </w:p>
        </w:tc>
      </w:tr>
      <w:tr>
        <w:trPr>
          <w:cantSplit/>
        </w:trPr>
        <w:tc>
          <w:tcPr>
            <w:tcW w:type="dxa" w:w="2232"/>
            <w:vAlign w:val="center"/>
            <w:tcMar>
              <w:top w:w="70" w:type="dxa"/>
              <w:bottom w:w="70" w:type="dxa"/>
              <w:start w:w="80" w:type="dxa"/>
              <w:end w:w="80" w:type="dxa"/>
            </w:tcMar>
          </w:tcPr>
          <w:p>
            <w:pPr>
              <w:pStyle w:val="TableText"/>
            </w:pPr>
            <w:r/>
            <w:r>
              <w:rPr>
                <w:b w:val="0"/>
              </w:rPr>
              <w:t>Borderline/uncertain</w:t>
            </w:r>
          </w:p>
        </w:tc>
        <w:tc>
          <w:tcPr>
            <w:tcW w:type="dxa" w:w="4536"/>
            <w:vAlign w:val="center"/>
            <w:tcMar>
              <w:top w:w="70" w:type="dxa"/>
              <w:bottom w:w="70" w:type="dxa"/>
              <w:start w:w="80" w:type="dxa"/>
              <w:end w:w="80" w:type="dxa"/>
            </w:tcMar>
          </w:tcPr>
          <w:p>
            <w:pPr>
              <w:pStyle w:val="TableText"/>
            </w:pPr>
            <w:r/>
            <w:r>
              <w:rPr>
                <w:b w:val="0"/>
              </w:rPr>
              <w:t>Technique, fetal position, hydration, measurement variability, or incomplete report.</w:t>
            </w:r>
          </w:p>
        </w:tc>
        <w:tc>
          <w:tcPr>
            <w:tcW w:type="dxa" w:w="4680"/>
            <w:vAlign w:val="center"/>
            <w:tcMar>
              <w:top w:w="70" w:type="dxa"/>
              <w:bottom w:w="70" w:type="dxa"/>
              <w:start w:w="80" w:type="dxa"/>
              <w:end w:w="80" w:type="dxa"/>
            </w:tcMar>
          </w:tcPr>
          <w:p>
            <w:pPr>
              <w:pStyle w:val="TableText"/>
            </w:pPr>
            <w:r/>
            <w:r>
              <w:rPr>
                <w:b w:val="0"/>
              </w:rPr>
              <w:t>A vague category should not be treated as a confirmed severe condition or as normal.</w:t>
            </w:r>
          </w:p>
        </w:tc>
      </w:tr>
    </w:tbl>
    <w:p>
      <w:pPr>
        <w:spacing w:after="20"/>
      </w:pPr>
    </w:p>
    <w:p>
      <w:pPr>
        <w:pStyle w:val="Heading2"/>
      </w:pPr>
      <w:r>
        <w:t>5.2 Rule justification and boundary</w:t>
      </w:r>
    </w:p>
    <w:tbl>
      <w:tblPr>
        <w:tblW w:type="auto" w:w="0"/>
        <w:tblLook w:firstColumn="1" w:firstRow="1" w:lastColumn="0" w:lastRow="0" w:noHBand="0" w:noVBand="1" w:val="04A0"/>
      </w:tblPr>
      <w:tblGrid>
        <w:gridCol w:w="10080"/>
      </w:tblGrid>
      <w:tr>
        <w:tc>
          <w:tcPr>
            <w:tcW w:type="dxa" w:w="10080"/>
            <w:shd w:fill="E2F0D9"/>
            <w:tcBorders>
              <w:top w:val="single" w:sz="8" w:color="548235"/>
              <w:left w:val="single" w:sz="8" w:color="548235"/>
              <w:bottom w:val="single" w:sz="8" w:color="548235"/>
              <w:right w:val="single" w:sz="8" w:color="548235"/>
            </w:tcBorders>
            <w:tcMar>
              <w:top w:w="110" w:type="dxa"/>
              <w:bottom w:w="110" w:type="dxa"/>
              <w:start w:w="120" w:type="dxa"/>
              <w:end w:w="120" w:type="dxa"/>
            </w:tcMar>
          </w:tcPr>
          <w:p>
            <w:pPr>
              <w:pStyle w:val="Callout"/>
            </w:pPr>
            <w:r/>
            <w:r>
              <w:rPr>
                <w:b/>
                <w:color w:val="548235"/>
              </w:rPr>
              <w:t>US-AF01 rationale</w:t>
              <w:br/>
            </w:r>
            <w:r>
              <w:t>The project records only Low, Normal, or High and cannot determine severity or cause. Low or High therefore activates HIGH as a broad safety and referral signal. The CDSS must not prescribe hydration, medication changes, surveillance frequency, induction, or delivery timing.</w:t>
            </w:r>
          </w:p>
        </w:tc>
      </w:tr>
    </w:tbl>
    <w:p>
      <w:pPr>
        <w:spacing w:after="20"/>
      </w:pPr>
    </w:p>
    <w:p>
      <w:pPr>
        <w:pStyle w:val="Heading1"/>
      </w:pPr>
      <w:r>
        <w:t>6. Fetal Cardiac Activity and Heart-Rate Terminology</w:t>
      </w:r>
    </w:p>
    <w:p>
      <w:pPr>
        <w:pStyle w:val="Heading2"/>
      </w:pPr>
      <w:r>
        <w:t>6.1 Distinguishing ultrasound cardiac activity from intrapartum monitoring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232"/>
            <w:vAlign w:val="center"/>
            <w:tcMar>
              <w:top w:w="70" w:type="dxa"/>
              <w:bottom w:w="70" w:type="dxa"/>
              <w:start w:w="80" w:type="dxa"/>
              <w:end w:w="80" w:type="dxa"/>
            </w:tcMar>
            <w:shd w:fill="17365D"/>
          </w:tcPr>
          <w:p>
            <w:pPr>
              <w:pStyle w:val="TableHeader"/>
            </w:pPr>
            <w:r/>
            <w:r>
              <w:rPr>
                <w:b/>
                <w:color w:val="FFFFFF"/>
              </w:rPr>
              <w:t>Context</w:t>
            </w:r>
          </w:p>
        </w:tc>
        <w:tc>
          <w:tcPr>
            <w:tcW w:type="dxa" w:w="4536"/>
            <w:vAlign w:val="center"/>
            <w:tcMar>
              <w:top w:w="70" w:type="dxa"/>
              <w:bottom w:w="70" w:type="dxa"/>
              <w:start w:w="80" w:type="dxa"/>
              <w:end w:w="80" w:type="dxa"/>
            </w:tcMar>
            <w:shd w:fill="17365D"/>
          </w:tcPr>
          <w:p>
            <w:pPr>
              <w:pStyle w:val="TableHeader"/>
            </w:pPr>
            <w:r/>
            <w:r>
              <w:rPr>
                <w:b/>
                <w:color w:val="FFFFFF"/>
              </w:rPr>
              <w:t>Appropriate terminology</w:t>
            </w:r>
          </w:p>
        </w:tc>
        <w:tc>
          <w:tcPr>
            <w:tcW w:type="dxa" w:w="4680"/>
            <w:vAlign w:val="center"/>
            <w:tcMar>
              <w:top w:w="70" w:type="dxa"/>
              <w:bottom w:w="70" w:type="dxa"/>
              <w:start w:w="80" w:type="dxa"/>
              <w:end w:w="80" w:type="dxa"/>
            </w:tcMar>
            <w:shd w:fill="17365D"/>
          </w:tcPr>
          <w:p>
            <w:pPr>
              <w:pStyle w:val="TableHeader"/>
            </w:pPr>
            <w:r/>
            <w:r>
              <w:rPr>
                <w:b/>
                <w:color w:val="FFFFFF"/>
              </w:rPr>
              <w:t>Not equivalent to</w:t>
            </w:r>
          </w:p>
        </w:tc>
      </w:tr>
      <w:tr>
        <w:trPr>
          <w:cantSplit/>
        </w:trPr>
        <w:tc>
          <w:tcPr>
            <w:tcW w:type="dxa" w:w="2232"/>
            <w:vAlign w:val="center"/>
            <w:tcMar>
              <w:top w:w="70" w:type="dxa"/>
              <w:bottom w:w="70" w:type="dxa"/>
              <w:start w:w="80" w:type="dxa"/>
              <w:end w:w="80" w:type="dxa"/>
            </w:tcMar>
          </w:tcPr>
          <w:p>
            <w:pPr>
              <w:pStyle w:val="TableText"/>
            </w:pPr>
            <w:r/>
            <w:r>
              <w:rPr>
                <w:b w:val="0"/>
              </w:rPr>
              <w:t>Early-pregnancy ultrasound</w:t>
            </w:r>
          </w:p>
        </w:tc>
        <w:tc>
          <w:tcPr>
            <w:tcW w:type="dxa" w:w="4536"/>
            <w:vAlign w:val="center"/>
            <w:tcMar>
              <w:top w:w="70" w:type="dxa"/>
              <w:bottom w:w="70" w:type="dxa"/>
              <w:start w:w="80" w:type="dxa"/>
              <w:end w:w="80" w:type="dxa"/>
            </w:tcMar>
          </w:tcPr>
          <w:p>
            <w:pPr>
              <w:pStyle w:val="TableText"/>
            </w:pPr>
            <w:r/>
            <w:r>
              <w:rPr>
                <w:b w:val="0"/>
              </w:rPr>
              <w:t>Cardiac activity visualized/not visualized; measured embryonic/fetal heart rate; viability assessment.</w:t>
            </w:r>
          </w:p>
        </w:tc>
        <w:tc>
          <w:tcPr>
            <w:tcW w:type="dxa" w:w="4680"/>
            <w:vAlign w:val="center"/>
            <w:tcMar>
              <w:top w:w="70" w:type="dxa"/>
              <w:bottom w:w="70" w:type="dxa"/>
              <w:start w:w="80" w:type="dxa"/>
              <w:end w:w="80" w:type="dxa"/>
            </w:tcMar>
          </w:tcPr>
          <w:p>
            <w:pPr>
              <w:pStyle w:val="TableText"/>
            </w:pPr>
            <w:r/>
            <w:r>
              <w:rPr>
                <w:b w:val="0"/>
              </w:rPr>
              <w:t>Auscultated fetal heart tones or intrapartum cardiotocography category.</w:t>
            </w:r>
          </w:p>
        </w:tc>
      </w:tr>
      <w:tr>
        <w:trPr>
          <w:cantSplit/>
        </w:trPr>
        <w:tc>
          <w:tcPr>
            <w:tcW w:type="dxa" w:w="2232"/>
            <w:vAlign w:val="center"/>
            <w:tcMar>
              <w:top w:w="70" w:type="dxa"/>
              <w:bottom w:w="70" w:type="dxa"/>
              <w:start w:w="80" w:type="dxa"/>
              <w:end w:w="80" w:type="dxa"/>
            </w:tcMar>
            <w:shd w:fill="EDF4FA"/>
          </w:tcPr>
          <w:p>
            <w:pPr>
              <w:pStyle w:val="TableText"/>
            </w:pPr>
            <w:r/>
            <w:r>
              <w:rPr>
                <w:b w:val="0"/>
              </w:rPr>
              <w:t>Later antenatal ultrasound</w:t>
            </w:r>
          </w:p>
        </w:tc>
        <w:tc>
          <w:tcPr>
            <w:tcW w:type="dxa" w:w="4536"/>
            <w:vAlign w:val="center"/>
            <w:tcMar>
              <w:top w:w="70" w:type="dxa"/>
              <w:bottom w:w="70" w:type="dxa"/>
              <w:start w:w="80" w:type="dxa"/>
              <w:end w:w="80" w:type="dxa"/>
            </w:tcMar>
            <w:shd w:fill="EDF4FA"/>
          </w:tcPr>
          <w:p>
            <w:pPr>
              <w:pStyle w:val="TableText"/>
            </w:pPr>
            <w:r/>
            <w:r>
              <w:rPr>
                <w:b w:val="0"/>
              </w:rPr>
              <w:t>Fetal cardiac activity, measured rate, rhythm observations, cardiac anatomy, or Doppler findings as reported.</w:t>
            </w:r>
          </w:p>
        </w:tc>
        <w:tc>
          <w:tcPr>
            <w:tcW w:type="dxa" w:w="4680"/>
            <w:vAlign w:val="center"/>
            <w:tcMar>
              <w:top w:w="70" w:type="dxa"/>
              <w:bottom w:w="70" w:type="dxa"/>
              <w:start w:w="80" w:type="dxa"/>
              <w:end w:w="80" w:type="dxa"/>
            </w:tcMar>
            <w:shd w:fill="EDF4FA"/>
          </w:tcPr>
          <w:p>
            <w:pPr>
              <w:pStyle w:val="TableText"/>
            </w:pPr>
            <w:r/>
            <w:r>
              <w:rPr>
                <w:b w:val="0"/>
              </w:rPr>
              <w:t>A complete fetal well-being assessment from one text field.</w:t>
            </w:r>
          </w:p>
        </w:tc>
      </w:tr>
      <w:tr>
        <w:trPr>
          <w:cantSplit/>
        </w:trPr>
        <w:tc>
          <w:tcPr>
            <w:tcW w:type="dxa" w:w="2232"/>
            <w:vAlign w:val="center"/>
            <w:tcMar>
              <w:top w:w="70" w:type="dxa"/>
              <w:bottom w:w="70" w:type="dxa"/>
              <w:start w:w="80" w:type="dxa"/>
              <w:end w:w="80" w:type="dxa"/>
            </w:tcMar>
          </w:tcPr>
          <w:p>
            <w:pPr>
              <w:pStyle w:val="TableText"/>
            </w:pPr>
            <w:r/>
            <w:r>
              <w:rPr>
                <w:b w:val="0"/>
              </w:rPr>
              <w:t>Labour</w:t>
            </w:r>
          </w:p>
        </w:tc>
        <w:tc>
          <w:tcPr>
            <w:tcW w:type="dxa" w:w="4536"/>
            <w:vAlign w:val="center"/>
            <w:tcMar>
              <w:top w:w="70" w:type="dxa"/>
              <w:bottom w:w="70" w:type="dxa"/>
              <w:start w:w="80" w:type="dxa"/>
              <w:end w:w="80" w:type="dxa"/>
            </w:tcMar>
          </w:tcPr>
          <w:p>
            <w:pPr>
              <w:pStyle w:val="TableText"/>
            </w:pPr>
            <w:r/>
            <w:r>
              <w:rPr>
                <w:b w:val="0"/>
              </w:rPr>
              <w:t>Baseline rate, variability, accelerations, decelerations, and pattern interpretation using fetal monitoring.</w:t>
            </w:r>
          </w:p>
        </w:tc>
        <w:tc>
          <w:tcPr>
            <w:tcW w:type="dxa" w:w="4680"/>
            <w:vAlign w:val="center"/>
            <w:tcMar>
              <w:top w:w="70" w:type="dxa"/>
              <w:bottom w:w="70" w:type="dxa"/>
              <w:start w:w="80" w:type="dxa"/>
              <w:end w:w="80" w:type="dxa"/>
            </w:tcMar>
          </w:tcPr>
          <w:p>
            <w:pPr>
              <w:pStyle w:val="TableText"/>
            </w:pPr>
            <w:r/>
            <w:r>
              <w:rPr>
                <w:b w:val="0"/>
              </w:rPr>
              <w:t>The ultrasound field labelled Weak/Abnormal/Absent.</w:t>
            </w:r>
          </w:p>
        </w:tc>
      </w:tr>
    </w:tbl>
    <w:p>
      <w:pPr>
        <w:spacing w:after="20"/>
      </w:pPr>
    </w:p>
    <w:p>
      <w:r>
        <w:t>The project's values Weak, Abnormal, and Absent combine different clinical concepts. 'Weak' may reflect poor signal, subjective wording, or true concern; 'abnormal' may refer to rate, rhythm, anatomy, or monitoring; and 'absent' may mean cardiac activity was not visualized at a particular examination. They should be treated as warning entries, not diagnoses.</w:t>
      </w:r>
    </w:p>
    <w:p>
      <w:pPr>
        <w:pStyle w:val="Heading2"/>
      </w:pPr>
      <w:r>
        <w:t>6.2 Safeguards for absent cardiac activity</w:t>
      </w:r>
    </w:p>
    <w:p>
      <w:r>
        <w:t>NICE NG126 states that miscarriage diagnosis from a single ultrasound cannot be guaranteed to be 100% accurate, especially at very early gestational ages. When no heartbeat is seen, crown-rump length, scan route, gestational age, repeat-scan interval, and second opinion may be required. NICE recommends repeat assessment after at least 7 days in specified transvaginal-scan situations and at least 14 days after a transabdominal scan before diagnosis in relevant cases.</w:t>
      </w:r>
    </w:p>
    <w:tbl>
      <w:tblPr>
        <w:tblW w:type="auto" w:w="0"/>
        <w:tblLook w:firstColumn="1" w:firstRow="1" w:lastColumn="0" w:lastRow="0" w:noHBand="0" w:noVBand="1" w:val="04A0"/>
      </w:tblPr>
      <w:tblGrid>
        <w:gridCol w:w="10080"/>
      </w:tblGrid>
      <w:tr>
        <w:tc>
          <w:tcPr>
            <w:tcW w:type="dxa" w:w="10080"/>
            <w:shd w:fill="FCE4D6"/>
            <w:tcBorders>
              <w:top w:val="single" w:sz="8" w:color="C00000"/>
              <w:left w:val="single" w:sz="8" w:color="C00000"/>
              <w:bottom w:val="single" w:sz="8" w:color="C00000"/>
              <w:right w:val="single" w:sz="8" w:color="C00000"/>
            </w:tcBorders>
            <w:tcMar>
              <w:top w:w="110" w:type="dxa"/>
              <w:bottom w:w="110" w:type="dxa"/>
              <w:start w:w="120" w:type="dxa"/>
              <w:end w:w="120" w:type="dxa"/>
            </w:tcMar>
          </w:tcPr>
          <w:p>
            <w:pPr>
              <w:pStyle w:val="Callout"/>
            </w:pPr>
            <w:r/>
            <w:r>
              <w:rPr>
                <w:b/>
                <w:color w:val="C00000"/>
              </w:rPr>
              <w:t>US-FH01 emergency and diagnostic boundary</w:t>
              <w:br/>
            </w:r>
            <w:r>
              <w:t>Absent or abnormal cardiac activity must activate immediate qualified review. The CDSS may say 'cardiac activity was reported absent or abnormal and requires urgent confirmation.' It must not display 'miscarriage confirmed,' 'fetal death confirmed,' or treatment instructions unless that diagnosis is explicitly documented by an authorized clinician in a separate confirmed-diagnosis field.</w:t>
            </w:r>
          </w:p>
        </w:tc>
      </w:tr>
    </w:tbl>
    <w:p>
      <w:pPr>
        <w:spacing w:after="20"/>
      </w:pPr>
    </w:p>
    <w:p>
      <w:pPr>
        <w:pStyle w:val="Heading1"/>
      </w:pPr>
      <w:r>
        <w:t>7. Evidence Review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vAlign w:val="center"/>
            <w:tcMar>
              <w:top w:w="70" w:type="dxa"/>
              <w:bottom w:w="70" w:type="dxa"/>
              <w:start w:w="80" w:type="dxa"/>
              <w:end w:w="80" w:type="dxa"/>
            </w:tcMar>
            <w:shd w:fill="17365D"/>
          </w:tcPr>
          <w:p>
            <w:pPr>
              <w:pStyle w:val="TableHeader"/>
            </w:pPr>
            <w:r/>
            <w:r>
              <w:rPr>
                <w:b/>
                <w:color w:val="FFFFFF"/>
              </w:rPr>
              <w:t>Source</w:t>
            </w:r>
          </w:p>
        </w:tc>
        <w:tc>
          <w:tcPr>
            <w:tcW w:type="dxa" w:w="4680"/>
            <w:vAlign w:val="center"/>
            <w:tcMar>
              <w:top w:w="70" w:type="dxa"/>
              <w:bottom w:w="70" w:type="dxa"/>
              <w:start w:w="80" w:type="dxa"/>
              <w:end w:w="80" w:type="dxa"/>
            </w:tcMar>
            <w:shd w:fill="17365D"/>
          </w:tcPr>
          <w:p>
            <w:pPr>
              <w:pStyle w:val="TableHeader"/>
            </w:pPr>
            <w:r/>
            <w:r>
              <w:rPr>
                <w:b/>
                <w:color w:val="FFFFFF"/>
              </w:rPr>
              <w:t>Key evidence used</w:t>
            </w:r>
          </w:p>
        </w:tc>
        <w:tc>
          <w:tcPr>
            <w:tcW w:type="dxa" w:w="4320"/>
            <w:vAlign w:val="center"/>
            <w:tcMar>
              <w:top w:w="70" w:type="dxa"/>
              <w:bottom w:w="70" w:type="dxa"/>
              <w:start w:w="80" w:type="dxa"/>
              <w:end w:w="80" w:type="dxa"/>
            </w:tcMar>
            <w:shd w:fill="17365D"/>
          </w:tcPr>
          <w:p>
            <w:pPr>
              <w:pStyle w:val="TableHeader"/>
            </w:pPr>
            <w:r/>
            <w:r>
              <w:rPr>
                <w:b/>
                <w:color w:val="FFFFFF"/>
              </w:rPr>
              <w:t>Project implication</w:t>
            </w:r>
          </w:p>
        </w:tc>
      </w:tr>
      <w:tr>
        <w:trPr>
          <w:cantSplit/>
        </w:trPr>
        <w:tc>
          <w:tcPr>
            <w:tcW w:type="dxa" w:w="1800"/>
            <w:vAlign w:val="center"/>
            <w:tcMar>
              <w:top w:w="70" w:type="dxa"/>
              <w:bottom w:w="70" w:type="dxa"/>
              <w:start w:w="80" w:type="dxa"/>
              <w:end w:w="80" w:type="dxa"/>
            </w:tcMar>
          </w:tcPr>
          <w:p>
            <w:pPr>
              <w:pStyle w:val="TableText"/>
            </w:pPr>
            <w:r/>
            <w:r>
              <w:rPr>
                <w:b w:val="0"/>
              </w:rPr>
              <w:t>ISUOG 2024 third-trimester guideline</w:t>
            </w:r>
          </w:p>
        </w:tc>
        <w:tc>
          <w:tcPr>
            <w:tcW w:type="dxa" w:w="4680"/>
            <w:vAlign w:val="center"/>
            <w:tcMar>
              <w:top w:w="70" w:type="dxa"/>
              <w:bottom w:w="70" w:type="dxa"/>
              <w:start w:w="80" w:type="dxa"/>
              <w:end w:w="80" w:type="dxa"/>
            </w:tcMar>
          </w:tcPr>
          <w:p>
            <w:pPr>
              <w:pStyle w:val="TableText"/>
            </w:pPr>
            <w:r/>
            <w:r>
              <w:rPr>
                <w:b w:val="0"/>
              </w:rPr>
              <w:t>Checklist includes viability, placenta, fetal presentation, biometry/growth, amniotic fluid, Doppler, and anatomy.</w:t>
            </w:r>
          </w:p>
        </w:tc>
        <w:tc>
          <w:tcPr>
            <w:tcW w:type="dxa" w:w="4320"/>
            <w:vAlign w:val="center"/>
            <w:tcMar>
              <w:top w:w="70" w:type="dxa"/>
              <w:bottom w:w="70" w:type="dxa"/>
              <w:start w:w="80" w:type="dxa"/>
              <w:end w:w="80" w:type="dxa"/>
            </w:tcMar>
          </w:tcPr>
          <w:p>
            <w:pPr>
              <w:pStyle w:val="TableText"/>
            </w:pPr>
            <w:r/>
            <w:r>
              <w:rPr>
                <w:b w:val="0"/>
              </w:rPr>
              <w:t>Supports structured report fields and professional interpretation.</w:t>
            </w:r>
          </w:p>
        </w:tc>
      </w:tr>
      <w:tr>
        <w:trPr>
          <w:cantSplit/>
        </w:trPr>
        <w:tc>
          <w:tcPr>
            <w:tcW w:type="dxa" w:w="1800"/>
            <w:vAlign w:val="center"/>
            <w:tcMar>
              <w:top w:w="70" w:type="dxa"/>
              <w:bottom w:w="70" w:type="dxa"/>
              <w:start w:w="80" w:type="dxa"/>
              <w:end w:w="80" w:type="dxa"/>
            </w:tcMar>
            <w:shd w:fill="EDF4FA"/>
          </w:tcPr>
          <w:p>
            <w:pPr>
              <w:pStyle w:val="TableText"/>
            </w:pPr>
            <w:r/>
            <w:r>
              <w:rPr>
                <w:b w:val="0"/>
              </w:rPr>
              <w:t>WHO antenatal ultrasound recommendation</w:t>
            </w:r>
          </w:p>
        </w:tc>
        <w:tc>
          <w:tcPr>
            <w:tcW w:type="dxa" w:w="4680"/>
            <w:vAlign w:val="center"/>
            <w:tcMar>
              <w:top w:w="70" w:type="dxa"/>
              <w:bottom w:w="70" w:type="dxa"/>
              <w:start w:w="80" w:type="dxa"/>
              <w:end w:w="80" w:type="dxa"/>
            </w:tcMar>
            <w:shd w:fill="EDF4FA"/>
          </w:tcPr>
          <w:p>
            <w:pPr>
              <w:pStyle w:val="TableText"/>
            </w:pPr>
            <w:r/>
            <w:r>
              <w:rPr>
                <w:b w:val="0"/>
              </w:rPr>
              <w:t>One ultrasound before 24 weeks is recommended to estimate gestational age, improve anomaly detection, and improve pregnancy experience.</w:t>
            </w:r>
          </w:p>
        </w:tc>
        <w:tc>
          <w:tcPr>
            <w:tcW w:type="dxa" w:w="4320"/>
            <w:vAlign w:val="center"/>
            <w:tcMar>
              <w:top w:w="70" w:type="dxa"/>
              <w:bottom w:w="70" w:type="dxa"/>
              <w:start w:w="80" w:type="dxa"/>
              <w:end w:w="80" w:type="dxa"/>
            </w:tcMar>
            <w:shd w:fill="EDF4FA"/>
          </w:tcPr>
          <w:p>
            <w:pPr>
              <w:pStyle w:val="TableText"/>
            </w:pPr>
            <w:r/>
            <w:r>
              <w:rPr>
                <w:b w:val="0"/>
              </w:rPr>
              <w:t>Supports ultrasound availability, not autonomous interpretation.</w:t>
            </w:r>
          </w:p>
        </w:tc>
      </w:tr>
      <w:tr>
        <w:trPr>
          <w:cantSplit/>
        </w:trPr>
        <w:tc>
          <w:tcPr>
            <w:tcW w:type="dxa" w:w="1800"/>
            <w:vAlign w:val="center"/>
            <w:tcMar>
              <w:top w:w="70" w:type="dxa"/>
              <w:bottom w:w="70" w:type="dxa"/>
              <w:start w:w="80" w:type="dxa"/>
              <w:end w:w="80" w:type="dxa"/>
            </w:tcMar>
          </w:tcPr>
          <w:p>
            <w:pPr>
              <w:pStyle w:val="TableText"/>
            </w:pPr>
            <w:r/>
            <w:r>
              <w:rPr>
                <w:b w:val="0"/>
              </w:rPr>
              <w:t>ACOG breech guidance</w:t>
            </w:r>
          </w:p>
        </w:tc>
        <w:tc>
          <w:tcPr>
            <w:tcW w:type="dxa" w:w="4680"/>
            <w:vAlign w:val="center"/>
            <w:tcMar>
              <w:top w:w="70" w:type="dxa"/>
              <w:bottom w:w="70" w:type="dxa"/>
              <w:start w:w="80" w:type="dxa"/>
              <w:end w:w="80" w:type="dxa"/>
            </w:tcMar>
          </w:tcPr>
          <w:p>
            <w:pPr>
              <w:pStyle w:val="TableText"/>
            </w:pPr>
            <w:r/>
            <w:r>
              <w:rPr>
                <w:b w:val="0"/>
              </w:rPr>
              <w:t>Breech is confirmed by examination/ultrasound; ECV requires monitoring and rapid cesarean availability.</w:t>
            </w:r>
          </w:p>
        </w:tc>
        <w:tc>
          <w:tcPr>
            <w:tcW w:type="dxa" w:w="4320"/>
            <w:vAlign w:val="center"/>
            <w:tcMar>
              <w:top w:w="70" w:type="dxa"/>
              <w:bottom w:w="70" w:type="dxa"/>
              <w:start w:w="80" w:type="dxa"/>
              <w:end w:w="80" w:type="dxa"/>
            </w:tcMar>
          </w:tcPr>
          <w:p>
            <w:pPr>
              <w:pStyle w:val="TableText"/>
            </w:pPr>
            <w:r/>
            <w:r>
              <w:rPr>
                <w:b w:val="0"/>
              </w:rPr>
              <w:t>Supports referral and prohibits software-performed management.</w:t>
            </w:r>
          </w:p>
        </w:tc>
      </w:tr>
      <w:tr>
        <w:trPr>
          <w:cantSplit/>
        </w:trPr>
        <w:tc>
          <w:tcPr>
            <w:tcW w:type="dxa" w:w="1800"/>
            <w:vAlign w:val="center"/>
            <w:tcMar>
              <w:top w:w="70" w:type="dxa"/>
              <w:bottom w:w="70" w:type="dxa"/>
              <w:start w:w="80" w:type="dxa"/>
              <w:end w:w="80" w:type="dxa"/>
            </w:tcMar>
            <w:shd w:fill="EDF4FA"/>
          </w:tcPr>
          <w:p>
            <w:pPr>
              <w:pStyle w:val="TableText"/>
            </w:pPr>
            <w:r/>
            <w:r>
              <w:rPr>
                <w:b w:val="0"/>
              </w:rPr>
              <w:t>ACOG fetal surveillance guidance</w:t>
            </w:r>
          </w:p>
        </w:tc>
        <w:tc>
          <w:tcPr>
            <w:tcW w:type="dxa" w:w="4680"/>
            <w:vAlign w:val="center"/>
            <w:tcMar>
              <w:top w:w="70" w:type="dxa"/>
              <w:bottom w:w="70" w:type="dxa"/>
              <w:start w:w="80" w:type="dxa"/>
              <w:end w:w="80" w:type="dxa"/>
            </w:tcMar>
            <w:shd w:fill="EDF4FA"/>
          </w:tcPr>
          <w:p>
            <w:pPr>
              <w:pStyle w:val="TableText"/>
            </w:pPr>
            <w:r/>
            <w:r>
              <w:rPr>
                <w:b w:val="0"/>
              </w:rPr>
              <w:t>Defines low fluid and polyhydramnios categories and discusses surveillance based on severity.</w:t>
            </w:r>
          </w:p>
        </w:tc>
        <w:tc>
          <w:tcPr>
            <w:tcW w:type="dxa" w:w="4320"/>
            <w:vAlign w:val="center"/>
            <w:tcMar>
              <w:top w:w="70" w:type="dxa"/>
              <w:bottom w:w="70" w:type="dxa"/>
              <w:start w:w="80" w:type="dxa"/>
              <w:end w:w="80" w:type="dxa"/>
            </w:tcMar>
            <w:shd w:fill="EDF4FA"/>
          </w:tcPr>
          <w:p>
            <w:pPr>
              <w:pStyle w:val="TableText"/>
            </w:pPr>
            <w:r/>
            <w:r>
              <w:rPr>
                <w:b w:val="0"/>
              </w:rPr>
              <w:t>Shows why Low/High categories need measurement and clinical context.</w:t>
            </w:r>
          </w:p>
        </w:tc>
      </w:tr>
      <w:tr>
        <w:trPr>
          <w:cantSplit/>
        </w:trPr>
        <w:tc>
          <w:tcPr>
            <w:tcW w:type="dxa" w:w="1800"/>
            <w:vAlign w:val="center"/>
            <w:tcMar>
              <w:top w:w="70" w:type="dxa"/>
              <w:bottom w:w="70" w:type="dxa"/>
              <w:start w:w="80" w:type="dxa"/>
              <w:end w:w="80" w:type="dxa"/>
            </w:tcMar>
          </w:tcPr>
          <w:p>
            <w:pPr>
              <w:pStyle w:val="TableText"/>
            </w:pPr>
            <w:r/>
            <w:r>
              <w:rPr>
                <w:b w:val="0"/>
              </w:rPr>
              <w:t>NICE NG126</w:t>
            </w:r>
          </w:p>
        </w:tc>
        <w:tc>
          <w:tcPr>
            <w:tcW w:type="dxa" w:w="4680"/>
            <w:vAlign w:val="center"/>
            <w:tcMar>
              <w:top w:w="70" w:type="dxa"/>
              <w:bottom w:w="70" w:type="dxa"/>
              <w:start w:w="80" w:type="dxa"/>
              <w:end w:w="80" w:type="dxa"/>
            </w:tcMar>
          </w:tcPr>
          <w:p>
            <w:pPr>
              <w:pStyle w:val="TableText"/>
            </w:pPr>
            <w:r/>
            <w:r>
              <w:rPr>
                <w:b w:val="0"/>
              </w:rPr>
              <w:t>No visible heartbeat in early pregnancy may require measurements, second opinion, and repeat scan before diagnosis.</w:t>
            </w:r>
          </w:p>
        </w:tc>
        <w:tc>
          <w:tcPr>
            <w:tcW w:type="dxa" w:w="4320"/>
            <w:vAlign w:val="center"/>
            <w:tcMar>
              <w:top w:w="70" w:type="dxa"/>
              <w:bottom w:w="70" w:type="dxa"/>
              <w:start w:w="80" w:type="dxa"/>
              <w:end w:w="80" w:type="dxa"/>
            </w:tcMar>
          </w:tcPr>
          <w:p>
            <w:pPr>
              <w:pStyle w:val="TableText"/>
            </w:pPr>
            <w:r/>
            <w:r>
              <w:rPr>
                <w:b w:val="0"/>
              </w:rPr>
              <w:t>Requires conservative wording and confirmation safeguards.</w:t>
            </w:r>
          </w:p>
        </w:tc>
      </w:tr>
      <w:tr>
        <w:trPr>
          <w:cantSplit/>
        </w:trPr>
        <w:tc>
          <w:tcPr>
            <w:tcW w:type="dxa" w:w="1800"/>
            <w:vAlign w:val="center"/>
            <w:tcMar>
              <w:top w:w="70" w:type="dxa"/>
              <w:bottom w:w="70" w:type="dxa"/>
              <w:start w:w="80" w:type="dxa"/>
              <w:end w:w="80" w:type="dxa"/>
            </w:tcMar>
            <w:shd w:fill="EDF4FA"/>
          </w:tcPr>
          <w:p>
            <w:pPr>
              <w:pStyle w:val="TableText"/>
            </w:pPr>
            <w:r/>
            <w:r>
              <w:rPr>
                <w:b w:val="0"/>
              </w:rPr>
              <w:t>ACOG intrapartum FHR guideline 2025</w:t>
            </w:r>
          </w:p>
        </w:tc>
        <w:tc>
          <w:tcPr>
            <w:tcW w:type="dxa" w:w="4680"/>
            <w:vAlign w:val="center"/>
            <w:tcMar>
              <w:top w:w="70" w:type="dxa"/>
              <w:bottom w:w="70" w:type="dxa"/>
              <w:start w:w="80" w:type="dxa"/>
              <w:end w:w="80" w:type="dxa"/>
            </w:tcMar>
            <w:shd w:fill="EDF4FA"/>
          </w:tcPr>
          <w:p>
            <w:pPr>
              <w:pStyle w:val="TableText"/>
            </w:pPr>
            <w:r/>
            <w:r>
              <w:rPr>
                <w:b w:val="0"/>
              </w:rPr>
              <w:t>Provides evidence-based evaluation of intrapartum fetal-heart-rate patterns.</w:t>
            </w:r>
          </w:p>
        </w:tc>
        <w:tc>
          <w:tcPr>
            <w:tcW w:type="dxa" w:w="4320"/>
            <w:vAlign w:val="center"/>
            <w:tcMar>
              <w:top w:w="70" w:type="dxa"/>
              <w:bottom w:w="70" w:type="dxa"/>
              <w:start w:w="80" w:type="dxa"/>
              <w:end w:w="80" w:type="dxa"/>
            </w:tcMar>
            <w:shd w:fill="EDF4FA"/>
          </w:tcPr>
          <w:p>
            <w:pPr>
              <w:pStyle w:val="TableText"/>
            </w:pPr>
            <w:r/>
            <w:r>
              <w:rPr>
                <w:b w:val="0"/>
              </w:rPr>
              <w:t>Confirms that a simple ultrasound heartbeat label is not intrapartum interpretation.</w:t>
            </w:r>
          </w:p>
        </w:tc>
      </w:tr>
    </w:tbl>
    <w:p>
      <w:pPr>
        <w:spacing w:after="20"/>
      </w:pPr>
    </w:p>
    <w:p>
      <w:pPr>
        <w:pStyle w:val="Heading1"/>
      </w:pPr>
      <w:r>
        <w:t>8. Philippine Lying-in Clinic Context</w:t>
      </w:r>
    </w:p>
    <w:p>
      <w:r>
        <w:t>Philippine birthing homes and lying-in clinics primarily support prenatal/postnatal care, normal spontaneous delivery, and newborn care. They may not have continuous electronic fetal monitoring, operating theatre, blood bank, advanced neonatal services, or specialist ultrasound interpretation on site. Ultrasound may be performed externally and entered later into the clinic record.</w:t>
      </w:r>
    </w:p>
    <w:p>
      <w:r>
        <w:t>Because abnormal presentation, fluid volume, or cardiac activity can change the appropriate place and urgency of care, the CDSS should support early referral and confirmation. It should also store the external report source rather than presenting manually encoded fields as if the system generated the finding.</w:t>
      </w:r>
    </w:p>
    <w:tbl>
      <w:tblPr>
        <w:tblW w:type="auto" w:w="0"/>
        <w:tblLook w:firstColumn="1" w:firstRow="1" w:lastColumn="0" w:lastRow="0" w:noHBand="0" w:noVBand="1" w:val="04A0"/>
      </w:tblPr>
      <w:tblGrid>
        <w:gridCol w:w="10080"/>
      </w:tblGrid>
      <w:tr>
        <w:tc>
          <w:tcPr>
            <w:tcW w:type="dxa" w:w="10080"/>
            <w:shd w:fill="E2F0D9"/>
            <w:tcBorders>
              <w:top w:val="single" w:sz="8" w:color="548235"/>
              <w:left w:val="single" w:sz="8" w:color="548235"/>
              <w:bottom w:val="single" w:sz="8" w:color="548235"/>
              <w:right w:val="single" w:sz="8" w:color="548235"/>
            </w:tcBorders>
            <w:tcMar>
              <w:top w:w="110" w:type="dxa"/>
              <w:bottom w:w="110" w:type="dxa"/>
              <w:start w:w="120" w:type="dxa"/>
              <w:end w:w="120" w:type="dxa"/>
            </w:tcMar>
          </w:tcPr>
          <w:p>
            <w:pPr>
              <w:pStyle w:val="Callout"/>
            </w:pPr>
            <w:r/>
            <w:r>
              <w:rPr>
                <w:b/>
                <w:color w:val="548235"/>
              </w:rPr>
              <w:t>Ultrasound's role in this capstone</w:t>
              <w:br/>
            </w:r>
            <w:r>
              <w:t>Ultrasound remains a clinical record and a source of rule-based factors. It is not part of the machine-learning prediction and is not interpreted by artificial intelligence. This keeps the system within a safer and more defensible scope.</w:t>
            </w:r>
          </w:p>
        </w:tc>
      </w:tr>
    </w:tbl>
    <w:p>
      <w:pPr>
        <w:spacing w:after="20"/>
      </w:pPr>
    </w:p>
    <w:p>
      <w:pPr>
        <w:pStyle w:val="Heading1"/>
      </w:pPr>
      <w:r>
        <w:t>9. Decision Logic and Precedence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2088"/>
            <w:vAlign w:val="center"/>
            <w:tcMar>
              <w:top w:w="70" w:type="dxa"/>
              <w:bottom w:w="70" w:type="dxa"/>
              <w:start w:w="80" w:type="dxa"/>
              <w:end w:w="80" w:type="dxa"/>
            </w:tcMar>
            <w:shd w:fill="17365D"/>
          </w:tcPr>
          <w:p>
            <w:pPr>
              <w:pStyle w:val="TableHeader"/>
            </w:pPr>
            <w:r/>
            <w:r>
              <w:rPr>
                <w:b/>
                <w:color w:val="FFFFFF"/>
              </w:rPr>
              <w:t>Presentation</w:t>
            </w:r>
          </w:p>
        </w:tc>
        <w:tc>
          <w:tcPr>
            <w:tcW w:type="dxa" w:w="1728"/>
            <w:vAlign w:val="center"/>
            <w:tcMar>
              <w:top w:w="70" w:type="dxa"/>
              <w:bottom w:w="70" w:type="dxa"/>
              <w:start w:w="80" w:type="dxa"/>
              <w:end w:w="80" w:type="dxa"/>
            </w:tcMar>
            <w:shd w:fill="17365D"/>
          </w:tcPr>
          <w:p>
            <w:pPr>
              <w:pStyle w:val="TableHeader"/>
            </w:pPr>
            <w:r/>
            <w:r>
              <w:rPr>
                <w:b/>
                <w:color w:val="FFFFFF"/>
              </w:rPr>
              <w:t>Fluid</w:t>
            </w:r>
          </w:p>
        </w:tc>
        <w:tc>
          <w:tcPr>
            <w:tcW w:type="dxa" w:w="2376"/>
            <w:vAlign w:val="center"/>
            <w:tcMar>
              <w:top w:w="70" w:type="dxa"/>
              <w:bottom w:w="70" w:type="dxa"/>
              <w:start w:w="80" w:type="dxa"/>
              <w:end w:w="80" w:type="dxa"/>
            </w:tcMar>
            <w:shd w:fill="17365D"/>
          </w:tcPr>
          <w:p>
            <w:pPr>
              <w:pStyle w:val="TableHeader"/>
            </w:pPr>
            <w:r/>
            <w:r>
              <w:rPr>
                <w:b/>
                <w:color w:val="FFFFFF"/>
              </w:rPr>
              <w:t>Heartbeat</w:t>
            </w:r>
          </w:p>
        </w:tc>
        <w:tc>
          <w:tcPr>
            <w:tcW w:type="dxa" w:w="1152"/>
            <w:vAlign w:val="center"/>
            <w:tcMar>
              <w:top w:w="70" w:type="dxa"/>
              <w:bottom w:w="70" w:type="dxa"/>
              <w:start w:w="80" w:type="dxa"/>
              <w:end w:w="80" w:type="dxa"/>
            </w:tcMar>
            <w:shd w:fill="17365D"/>
          </w:tcPr>
          <w:p>
            <w:pPr>
              <w:pStyle w:val="TableHeader"/>
            </w:pPr>
            <w:r/>
            <w:r>
              <w:rPr>
                <w:b/>
                <w:color w:val="FFFFFF"/>
              </w:rPr>
              <w:t>ML</w:t>
            </w:r>
          </w:p>
        </w:tc>
        <w:tc>
          <w:tcPr>
            <w:tcW w:type="dxa" w:w="3816"/>
            <w:vAlign w:val="center"/>
            <w:tcMar>
              <w:top w:w="70" w:type="dxa"/>
              <w:bottom w:w="70" w:type="dxa"/>
              <w:start w:w="80" w:type="dxa"/>
              <w:end w:w="80" w:type="dxa"/>
            </w:tcMar>
            <w:shd w:fill="17365D"/>
          </w:tcPr>
          <w:p>
            <w:pPr>
              <w:pStyle w:val="TableHeader"/>
            </w:pPr>
            <w:r/>
            <w:r>
              <w:rPr>
                <w:b/>
                <w:color w:val="FFFFFF"/>
              </w:rPr>
              <w:t>Expected result</w:t>
            </w:r>
          </w:p>
        </w:tc>
      </w:tr>
      <w:tr>
        <w:trPr>
          <w:cantSplit/>
        </w:trPr>
        <w:tc>
          <w:tcPr>
            <w:tcW w:type="dxa" w:w="2088"/>
            <w:vAlign w:val="center"/>
            <w:tcMar>
              <w:top w:w="70" w:type="dxa"/>
              <w:bottom w:w="70" w:type="dxa"/>
              <w:start w:w="80" w:type="dxa"/>
              <w:end w:w="80" w:type="dxa"/>
            </w:tcMar>
          </w:tcPr>
          <w:p>
            <w:pPr>
              <w:pStyle w:val="TableText"/>
            </w:pPr>
            <w:r/>
            <w:r>
              <w:rPr>
                <w:b w:val="0"/>
              </w:rPr>
              <w:t>Breech/Transverse/Oblique</w:t>
            </w:r>
          </w:p>
        </w:tc>
        <w:tc>
          <w:tcPr>
            <w:tcW w:type="dxa" w:w="1728"/>
            <w:vAlign w:val="center"/>
            <w:tcMar>
              <w:top w:w="70" w:type="dxa"/>
              <w:bottom w:w="70" w:type="dxa"/>
              <w:start w:w="80" w:type="dxa"/>
              <w:end w:w="80" w:type="dxa"/>
            </w:tcMar>
          </w:tcPr>
          <w:p>
            <w:pPr>
              <w:pStyle w:val="TableText"/>
            </w:pPr>
            <w:r/>
            <w:r>
              <w:rPr>
                <w:b w:val="0"/>
              </w:rPr>
              <w:t>Normal</w:t>
            </w:r>
          </w:p>
        </w:tc>
        <w:tc>
          <w:tcPr>
            <w:tcW w:type="dxa" w:w="2376"/>
            <w:vAlign w:val="center"/>
            <w:tcMar>
              <w:top w:w="70" w:type="dxa"/>
              <w:bottom w:w="70" w:type="dxa"/>
              <w:start w:w="80" w:type="dxa"/>
              <w:end w:w="80" w:type="dxa"/>
            </w:tcMar>
          </w:tcPr>
          <w:p>
            <w:pPr>
              <w:pStyle w:val="TableText"/>
            </w:pPr>
            <w:r/>
            <w:r>
              <w:rPr>
                <w:b w:val="0"/>
              </w:rPr>
              <w:t>Normal</w:t>
            </w:r>
          </w:p>
        </w:tc>
        <w:tc>
          <w:tcPr>
            <w:tcW w:type="dxa" w:w="1152"/>
            <w:vAlign w:val="center"/>
            <w:tcMar>
              <w:top w:w="70" w:type="dxa"/>
              <w:bottom w:w="70" w:type="dxa"/>
              <w:start w:w="80" w:type="dxa"/>
              <w:end w:w="80" w:type="dxa"/>
            </w:tcMar>
          </w:tcPr>
          <w:p>
            <w:pPr>
              <w:pStyle w:val="TableText"/>
            </w:pPr>
            <w:r/>
            <w:r>
              <w:rPr>
                <w:b w:val="0"/>
              </w:rPr>
              <w:t>LOW</w:t>
            </w:r>
          </w:p>
        </w:tc>
        <w:tc>
          <w:tcPr>
            <w:tcW w:type="dxa" w:w="3816"/>
            <w:vAlign w:val="center"/>
            <w:tcMar>
              <w:top w:w="70" w:type="dxa"/>
              <w:bottom w:w="70" w:type="dxa"/>
              <w:start w:w="80" w:type="dxa"/>
              <w:end w:w="80" w:type="dxa"/>
            </w:tcMar>
          </w:tcPr>
          <w:p>
            <w:pPr>
              <w:pStyle w:val="TableText"/>
            </w:pPr>
            <w:r/>
            <w:r>
              <w:rPr>
                <w:b w:val="0"/>
              </w:rPr>
              <w:t>HIGH - US-P01</w:t>
            </w:r>
          </w:p>
        </w:tc>
      </w:tr>
      <w:tr>
        <w:trPr>
          <w:cantSplit/>
        </w:trPr>
        <w:tc>
          <w:tcPr>
            <w:tcW w:type="dxa" w:w="2088"/>
            <w:vAlign w:val="center"/>
            <w:tcMar>
              <w:top w:w="70" w:type="dxa"/>
              <w:bottom w:w="70" w:type="dxa"/>
              <w:start w:w="80" w:type="dxa"/>
              <w:end w:w="80" w:type="dxa"/>
            </w:tcMar>
            <w:shd w:fill="EDF4FA"/>
          </w:tcPr>
          <w:p>
            <w:pPr>
              <w:pStyle w:val="TableText"/>
            </w:pPr>
            <w:r/>
            <w:r>
              <w:rPr>
                <w:b w:val="0"/>
              </w:rPr>
              <w:t>Cephalic</w:t>
            </w:r>
          </w:p>
        </w:tc>
        <w:tc>
          <w:tcPr>
            <w:tcW w:type="dxa" w:w="1728"/>
            <w:vAlign w:val="center"/>
            <w:tcMar>
              <w:top w:w="70" w:type="dxa"/>
              <w:bottom w:w="70" w:type="dxa"/>
              <w:start w:w="80" w:type="dxa"/>
              <w:end w:w="80" w:type="dxa"/>
            </w:tcMar>
            <w:shd w:fill="EDF4FA"/>
          </w:tcPr>
          <w:p>
            <w:pPr>
              <w:pStyle w:val="TableText"/>
            </w:pPr>
            <w:r/>
            <w:r>
              <w:rPr>
                <w:b w:val="0"/>
              </w:rPr>
              <w:t>Low/High</w:t>
            </w:r>
          </w:p>
        </w:tc>
        <w:tc>
          <w:tcPr>
            <w:tcW w:type="dxa" w:w="2376"/>
            <w:vAlign w:val="center"/>
            <w:tcMar>
              <w:top w:w="70" w:type="dxa"/>
              <w:bottom w:w="70" w:type="dxa"/>
              <w:start w:w="80" w:type="dxa"/>
              <w:end w:w="80" w:type="dxa"/>
            </w:tcMar>
            <w:shd w:fill="EDF4FA"/>
          </w:tcPr>
          <w:p>
            <w:pPr>
              <w:pStyle w:val="TableText"/>
            </w:pPr>
            <w:r/>
            <w:r>
              <w:rPr>
                <w:b w:val="0"/>
              </w:rPr>
              <w:t>Normal</w:t>
            </w:r>
          </w:p>
        </w:tc>
        <w:tc>
          <w:tcPr>
            <w:tcW w:type="dxa" w:w="1152"/>
            <w:vAlign w:val="center"/>
            <w:tcMar>
              <w:top w:w="70" w:type="dxa"/>
              <w:bottom w:w="70" w:type="dxa"/>
              <w:start w:w="80" w:type="dxa"/>
              <w:end w:w="80" w:type="dxa"/>
            </w:tcMar>
            <w:shd w:fill="EDF4FA"/>
          </w:tcPr>
          <w:p>
            <w:pPr>
              <w:pStyle w:val="TableText"/>
            </w:pPr>
            <w:r/>
            <w:r>
              <w:rPr>
                <w:b w:val="0"/>
              </w:rPr>
              <w:t>LOW</w:t>
            </w:r>
          </w:p>
        </w:tc>
        <w:tc>
          <w:tcPr>
            <w:tcW w:type="dxa" w:w="3816"/>
            <w:vAlign w:val="center"/>
            <w:tcMar>
              <w:top w:w="70" w:type="dxa"/>
              <w:bottom w:w="70" w:type="dxa"/>
              <w:start w:w="80" w:type="dxa"/>
              <w:end w:w="80" w:type="dxa"/>
            </w:tcMar>
            <w:shd w:fill="EDF4FA"/>
          </w:tcPr>
          <w:p>
            <w:pPr>
              <w:pStyle w:val="TableText"/>
            </w:pPr>
            <w:r/>
            <w:r>
              <w:rPr>
                <w:b w:val="0"/>
              </w:rPr>
              <w:t>HIGH - US-AF01</w:t>
            </w:r>
          </w:p>
        </w:tc>
      </w:tr>
      <w:tr>
        <w:trPr>
          <w:cantSplit/>
        </w:trPr>
        <w:tc>
          <w:tcPr>
            <w:tcW w:type="dxa" w:w="2088"/>
            <w:vAlign w:val="center"/>
            <w:tcMar>
              <w:top w:w="70" w:type="dxa"/>
              <w:bottom w:w="70" w:type="dxa"/>
              <w:start w:w="80" w:type="dxa"/>
              <w:end w:w="80" w:type="dxa"/>
            </w:tcMar>
          </w:tcPr>
          <w:p>
            <w:pPr>
              <w:pStyle w:val="TableText"/>
            </w:pPr>
            <w:r/>
            <w:r>
              <w:rPr>
                <w:b w:val="0"/>
              </w:rPr>
              <w:t>Cephalic</w:t>
            </w:r>
          </w:p>
        </w:tc>
        <w:tc>
          <w:tcPr>
            <w:tcW w:type="dxa" w:w="1728"/>
            <w:vAlign w:val="center"/>
            <w:tcMar>
              <w:top w:w="70" w:type="dxa"/>
              <w:bottom w:w="70" w:type="dxa"/>
              <w:start w:w="80" w:type="dxa"/>
              <w:end w:w="80" w:type="dxa"/>
            </w:tcMar>
          </w:tcPr>
          <w:p>
            <w:pPr>
              <w:pStyle w:val="TableText"/>
            </w:pPr>
            <w:r/>
            <w:r>
              <w:rPr>
                <w:b w:val="0"/>
              </w:rPr>
              <w:t>Normal</w:t>
            </w:r>
          </w:p>
        </w:tc>
        <w:tc>
          <w:tcPr>
            <w:tcW w:type="dxa" w:w="2376"/>
            <w:vAlign w:val="center"/>
            <w:tcMar>
              <w:top w:w="70" w:type="dxa"/>
              <w:bottom w:w="70" w:type="dxa"/>
              <w:start w:w="80" w:type="dxa"/>
              <w:end w:w="80" w:type="dxa"/>
            </w:tcMar>
          </w:tcPr>
          <w:p>
            <w:pPr>
              <w:pStyle w:val="TableText"/>
            </w:pPr>
            <w:r/>
            <w:r>
              <w:rPr>
                <w:b w:val="0"/>
              </w:rPr>
              <w:t>Weak/Abnormal/Absent</w:t>
            </w:r>
          </w:p>
        </w:tc>
        <w:tc>
          <w:tcPr>
            <w:tcW w:type="dxa" w:w="1152"/>
            <w:vAlign w:val="center"/>
            <w:tcMar>
              <w:top w:w="70" w:type="dxa"/>
              <w:bottom w:w="70" w:type="dxa"/>
              <w:start w:w="80" w:type="dxa"/>
              <w:end w:w="80" w:type="dxa"/>
            </w:tcMar>
          </w:tcPr>
          <w:p>
            <w:pPr>
              <w:pStyle w:val="TableText"/>
            </w:pPr>
            <w:r/>
            <w:r>
              <w:rPr>
                <w:b w:val="0"/>
              </w:rPr>
              <w:t>LOW</w:t>
            </w:r>
          </w:p>
        </w:tc>
        <w:tc>
          <w:tcPr>
            <w:tcW w:type="dxa" w:w="3816"/>
            <w:vAlign w:val="center"/>
            <w:tcMar>
              <w:top w:w="70" w:type="dxa"/>
              <w:bottom w:w="70" w:type="dxa"/>
              <w:start w:w="80" w:type="dxa"/>
              <w:end w:w="80" w:type="dxa"/>
            </w:tcMar>
          </w:tcPr>
          <w:p>
            <w:pPr>
              <w:pStyle w:val="TableText"/>
            </w:pPr>
            <w:r/>
            <w:r>
              <w:rPr>
                <w:b w:val="0"/>
              </w:rPr>
              <w:t>HIGH - US-FH01</w:t>
            </w:r>
          </w:p>
        </w:tc>
      </w:tr>
      <w:tr>
        <w:trPr>
          <w:cantSplit/>
        </w:trPr>
        <w:tc>
          <w:tcPr>
            <w:tcW w:type="dxa" w:w="2088"/>
            <w:vAlign w:val="center"/>
            <w:tcMar>
              <w:top w:w="70" w:type="dxa"/>
              <w:bottom w:w="70" w:type="dxa"/>
              <w:start w:w="80" w:type="dxa"/>
              <w:end w:w="80" w:type="dxa"/>
            </w:tcMar>
            <w:shd w:fill="EDF4FA"/>
          </w:tcPr>
          <w:p>
            <w:pPr>
              <w:pStyle w:val="TableText"/>
            </w:pPr>
            <w:r/>
            <w:r>
              <w:rPr>
                <w:b w:val="0"/>
              </w:rPr>
              <w:t>Breech</w:t>
            </w:r>
          </w:p>
        </w:tc>
        <w:tc>
          <w:tcPr>
            <w:tcW w:type="dxa" w:w="1728"/>
            <w:vAlign w:val="center"/>
            <w:tcMar>
              <w:top w:w="70" w:type="dxa"/>
              <w:bottom w:w="70" w:type="dxa"/>
              <w:start w:w="80" w:type="dxa"/>
              <w:end w:w="80" w:type="dxa"/>
            </w:tcMar>
            <w:shd w:fill="EDF4FA"/>
          </w:tcPr>
          <w:p>
            <w:pPr>
              <w:pStyle w:val="TableText"/>
            </w:pPr>
            <w:r/>
            <w:r>
              <w:rPr>
                <w:b w:val="0"/>
              </w:rPr>
              <w:t>Low</w:t>
            </w:r>
          </w:p>
        </w:tc>
        <w:tc>
          <w:tcPr>
            <w:tcW w:type="dxa" w:w="2376"/>
            <w:vAlign w:val="center"/>
            <w:tcMar>
              <w:top w:w="70" w:type="dxa"/>
              <w:bottom w:w="70" w:type="dxa"/>
              <w:start w:w="80" w:type="dxa"/>
              <w:end w:w="80" w:type="dxa"/>
            </w:tcMar>
            <w:shd w:fill="EDF4FA"/>
          </w:tcPr>
          <w:p>
            <w:pPr>
              <w:pStyle w:val="TableText"/>
            </w:pPr>
            <w:r/>
            <w:r>
              <w:rPr>
                <w:b w:val="0"/>
              </w:rPr>
              <w:t>Abnormal</w:t>
            </w:r>
          </w:p>
        </w:tc>
        <w:tc>
          <w:tcPr>
            <w:tcW w:type="dxa" w:w="1152"/>
            <w:vAlign w:val="center"/>
            <w:tcMar>
              <w:top w:w="70" w:type="dxa"/>
              <w:bottom w:w="70" w:type="dxa"/>
              <w:start w:w="80" w:type="dxa"/>
              <w:end w:w="80" w:type="dxa"/>
            </w:tcMar>
            <w:shd w:fill="EDF4FA"/>
          </w:tcPr>
          <w:p>
            <w:pPr>
              <w:pStyle w:val="TableText"/>
            </w:pPr>
            <w:r/>
            <w:r>
              <w:rPr>
                <w:b w:val="0"/>
              </w:rPr>
              <w:t>LOW</w:t>
            </w:r>
          </w:p>
        </w:tc>
        <w:tc>
          <w:tcPr>
            <w:tcW w:type="dxa" w:w="3816"/>
            <w:vAlign w:val="center"/>
            <w:tcMar>
              <w:top w:w="70" w:type="dxa"/>
              <w:bottom w:w="70" w:type="dxa"/>
              <w:start w:w="80" w:type="dxa"/>
              <w:end w:w="80" w:type="dxa"/>
            </w:tcMar>
            <w:shd w:fill="EDF4FA"/>
          </w:tcPr>
          <w:p>
            <w:pPr>
              <w:pStyle w:val="TableText"/>
            </w:pPr>
            <w:r/>
            <w:r>
              <w:rPr>
                <w:b w:val="0"/>
              </w:rPr>
              <w:t>HIGH with all distinct reasons</w:t>
            </w:r>
          </w:p>
        </w:tc>
      </w:tr>
      <w:tr>
        <w:trPr>
          <w:cantSplit/>
        </w:trPr>
        <w:tc>
          <w:tcPr>
            <w:tcW w:type="dxa" w:w="2088"/>
            <w:vAlign w:val="center"/>
            <w:tcMar>
              <w:top w:w="70" w:type="dxa"/>
              <w:bottom w:w="70" w:type="dxa"/>
              <w:start w:w="80" w:type="dxa"/>
              <w:end w:w="80" w:type="dxa"/>
            </w:tcMar>
          </w:tcPr>
          <w:p>
            <w:pPr>
              <w:pStyle w:val="TableText"/>
            </w:pPr>
            <w:r/>
            <w:r>
              <w:rPr>
                <w:b w:val="0"/>
              </w:rPr>
              <w:t>Cephalic</w:t>
            </w:r>
          </w:p>
        </w:tc>
        <w:tc>
          <w:tcPr>
            <w:tcW w:type="dxa" w:w="1728"/>
            <w:vAlign w:val="center"/>
            <w:tcMar>
              <w:top w:w="70" w:type="dxa"/>
              <w:bottom w:w="70" w:type="dxa"/>
              <w:start w:w="80" w:type="dxa"/>
              <w:end w:w="80" w:type="dxa"/>
            </w:tcMar>
          </w:tcPr>
          <w:p>
            <w:pPr>
              <w:pStyle w:val="TableText"/>
            </w:pPr>
            <w:r/>
            <w:r>
              <w:rPr>
                <w:b w:val="0"/>
              </w:rPr>
              <w:t>Normal</w:t>
            </w:r>
          </w:p>
        </w:tc>
        <w:tc>
          <w:tcPr>
            <w:tcW w:type="dxa" w:w="2376"/>
            <w:vAlign w:val="center"/>
            <w:tcMar>
              <w:top w:w="70" w:type="dxa"/>
              <w:bottom w:w="70" w:type="dxa"/>
              <w:start w:w="80" w:type="dxa"/>
              <w:end w:w="80" w:type="dxa"/>
            </w:tcMar>
          </w:tcPr>
          <w:p>
            <w:pPr>
              <w:pStyle w:val="TableText"/>
            </w:pPr>
            <w:r/>
            <w:r>
              <w:rPr>
                <w:b w:val="0"/>
              </w:rPr>
              <w:t>Normal</w:t>
            </w:r>
          </w:p>
        </w:tc>
        <w:tc>
          <w:tcPr>
            <w:tcW w:type="dxa" w:w="1152"/>
            <w:vAlign w:val="center"/>
            <w:tcMar>
              <w:top w:w="70" w:type="dxa"/>
              <w:bottom w:w="70" w:type="dxa"/>
              <w:start w:w="80" w:type="dxa"/>
              <w:end w:w="80" w:type="dxa"/>
            </w:tcMar>
          </w:tcPr>
          <w:p>
            <w:pPr>
              <w:pStyle w:val="TableText"/>
            </w:pPr>
            <w:r/>
            <w:r>
              <w:rPr>
                <w:b w:val="0"/>
              </w:rPr>
              <w:t>LOW</w:t>
            </w:r>
          </w:p>
        </w:tc>
        <w:tc>
          <w:tcPr>
            <w:tcW w:type="dxa" w:w="3816"/>
            <w:vAlign w:val="center"/>
            <w:tcMar>
              <w:top w:w="70" w:type="dxa"/>
              <w:bottom w:w="70" w:type="dxa"/>
              <w:start w:w="80" w:type="dxa"/>
              <w:end w:w="80" w:type="dxa"/>
            </w:tcMar>
          </w:tcPr>
          <w:p>
            <w:pPr>
              <w:pStyle w:val="TableText"/>
            </w:pPr>
            <w:r/>
            <w:r>
              <w:rPr>
                <w:b w:val="0"/>
              </w:rPr>
              <w:t>LOW only when all other records and rules permit</w:t>
            </w:r>
          </w:p>
        </w:tc>
      </w:tr>
      <w:tr>
        <w:trPr>
          <w:cantSplit/>
        </w:trPr>
        <w:tc>
          <w:tcPr>
            <w:tcW w:type="dxa" w:w="2088"/>
            <w:vAlign w:val="center"/>
            <w:tcMar>
              <w:top w:w="70" w:type="dxa"/>
              <w:bottom w:w="70" w:type="dxa"/>
              <w:start w:w="80" w:type="dxa"/>
              <w:end w:w="80" w:type="dxa"/>
            </w:tcMar>
            <w:shd w:fill="EDF4FA"/>
          </w:tcPr>
          <w:p>
            <w:pPr>
              <w:pStyle w:val="TableText"/>
            </w:pPr>
            <w:r/>
            <w:r>
              <w:rPr>
                <w:b w:val="0"/>
              </w:rPr>
              <w:t>Unknown</w:t>
            </w:r>
          </w:p>
        </w:tc>
        <w:tc>
          <w:tcPr>
            <w:tcW w:type="dxa" w:w="1728"/>
            <w:vAlign w:val="center"/>
            <w:tcMar>
              <w:top w:w="70" w:type="dxa"/>
              <w:bottom w:w="70" w:type="dxa"/>
              <w:start w:w="80" w:type="dxa"/>
              <w:end w:w="80" w:type="dxa"/>
            </w:tcMar>
            <w:shd w:fill="EDF4FA"/>
          </w:tcPr>
          <w:p>
            <w:pPr>
              <w:pStyle w:val="TableText"/>
            </w:pPr>
            <w:r/>
            <w:r>
              <w:rPr>
                <w:b w:val="0"/>
              </w:rPr>
              <w:t>Normal</w:t>
            </w:r>
          </w:p>
        </w:tc>
        <w:tc>
          <w:tcPr>
            <w:tcW w:type="dxa" w:w="2376"/>
            <w:vAlign w:val="center"/>
            <w:tcMar>
              <w:top w:w="70" w:type="dxa"/>
              <w:bottom w:w="70" w:type="dxa"/>
              <w:start w:w="80" w:type="dxa"/>
              <w:end w:w="80" w:type="dxa"/>
            </w:tcMar>
            <w:shd w:fill="EDF4FA"/>
          </w:tcPr>
          <w:p>
            <w:pPr>
              <w:pStyle w:val="TableText"/>
            </w:pPr>
            <w:r/>
            <w:r>
              <w:rPr>
                <w:b w:val="0"/>
              </w:rPr>
              <w:t>Normal</w:t>
            </w:r>
          </w:p>
        </w:tc>
        <w:tc>
          <w:tcPr>
            <w:tcW w:type="dxa" w:w="1152"/>
            <w:vAlign w:val="center"/>
            <w:tcMar>
              <w:top w:w="70" w:type="dxa"/>
              <w:bottom w:w="70" w:type="dxa"/>
              <w:start w:w="80" w:type="dxa"/>
              <w:end w:w="80" w:type="dxa"/>
            </w:tcMar>
            <w:shd w:fill="EDF4FA"/>
          </w:tcPr>
          <w:p>
            <w:pPr>
              <w:pStyle w:val="TableText"/>
            </w:pPr>
            <w:r/>
            <w:r>
              <w:rPr>
                <w:b w:val="0"/>
              </w:rPr>
              <w:t>Any</w:t>
            </w:r>
          </w:p>
        </w:tc>
        <w:tc>
          <w:tcPr>
            <w:tcW w:type="dxa" w:w="3816"/>
            <w:vAlign w:val="center"/>
            <w:tcMar>
              <w:top w:w="70" w:type="dxa"/>
              <w:bottom w:w="70" w:type="dxa"/>
              <w:start w:w="80" w:type="dxa"/>
              <w:end w:w="80" w:type="dxa"/>
            </w:tcMar>
            <w:shd w:fill="EDF4FA"/>
          </w:tcPr>
          <w:p>
            <w:pPr>
              <w:pStyle w:val="TableText"/>
            </w:pPr>
            <w:r/>
            <w:r>
              <w:rPr>
                <w:b w:val="0"/>
              </w:rPr>
              <w:t>ASSESSMENT INCOMPLETE</w:t>
            </w:r>
          </w:p>
        </w:tc>
      </w:tr>
      <w:tr>
        <w:trPr>
          <w:cantSplit/>
        </w:trPr>
        <w:tc>
          <w:tcPr>
            <w:tcW w:type="dxa" w:w="2088"/>
            <w:vAlign w:val="center"/>
            <w:tcMar>
              <w:top w:w="70" w:type="dxa"/>
              <w:bottom w:w="70" w:type="dxa"/>
              <w:start w:w="80" w:type="dxa"/>
              <w:end w:w="80" w:type="dxa"/>
            </w:tcMar>
          </w:tcPr>
          <w:p>
            <w:pPr>
              <w:pStyle w:val="TableText"/>
            </w:pPr>
            <w:r/>
            <w:r>
              <w:rPr>
                <w:b w:val="0"/>
              </w:rPr>
              <w:t>Cephalic</w:t>
            </w:r>
          </w:p>
        </w:tc>
        <w:tc>
          <w:tcPr>
            <w:tcW w:type="dxa" w:w="1728"/>
            <w:vAlign w:val="center"/>
            <w:tcMar>
              <w:top w:w="70" w:type="dxa"/>
              <w:bottom w:w="70" w:type="dxa"/>
              <w:start w:w="80" w:type="dxa"/>
              <w:end w:w="80" w:type="dxa"/>
            </w:tcMar>
          </w:tcPr>
          <w:p>
            <w:pPr>
              <w:pStyle w:val="TableText"/>
            </w:pPr>
            <w:r/>
            <w:r>
              <w:rPr>
                <w:b w:val="0"/>
              </w:rPr>
              <w:t>Blank</w:t>
            </w:r>
          </w:p>
        </w:tc>
        <w:tc>
          <w:tcPr>
            <w:tcW w:type="dxa" w:w="2376"/>
            <w:vAlign w:val="center"/>
            <w:tcMar>
              <w:top w:w="70" w:type="dxa"/>
              <w:bottom w:w="70" w:type="dxa"/>
              <w:start w:w="80" w:type="dxa"/>
              <w:end w:w="80" w:type="dxa"/>
            </w:tcMar>
          </w:tcPr>
          <w:p>
            <w:pPr>
              <w:pStyle w:val="TableText"/>
            </w:pPr>
            <w:r/>
            <w:r>
              <w:rPr>
                <w:b w:val="0"/>
              </w:rPr>
              <w:t>Normal</w:t>
            </w:r>
          </w:p>
        </w:tc>
        <w:tc>
          <w:tcPr>
            <w:tcW w:type="dxa" w:w="1152"/>
            <w:vAlign w:val="center"/>
            <w:tcMar>
              <w:top w:w="70" w:type="dxa"/>
              <w:bottom w:w="70" w:type="dxa"/>
              <w:start w:w="80" w:type="dxa"/>
              <w:end w:w="80" w:type="dxa"/>
            </w:tcMar>
          </w:tcPr>
          <w:p>
            <w:pPr>
              <w:pStyle w:val="TableText"/>
            </w:pPr>
            <w:r/>
            <w:r>
              <w:rPr>
                <w:b w:val="0"/>
              </w:rPr>
              <w:t>Any</w:t>
            </w:r>
          </w:p>
        </w:tc>
        <w:tc>
          <w:tcPr>
            <w:tcW w:type="dxa" w:w="3816"/>
            <w:vAlign w:val="center"/>
            <w:tcMar>
              <w:top w:w="70" w:type="dxa"/>
              <w:bottom w:w="70" w:type="dxa"/>
              <w:start w:w="80" w:type="dxa"/>
              <w:end w:w="80" w:type="dxa"/>
            </w:tcMar>
          </w:tcPr>
          <w:p>
            <w:pPr>
              <w:pStyle w:val="TableText"/>
            </w:pPr>
            <w:r/>
            <w:r>
              <w:rPr>
                <w:b w:val="0"/>
              </w:rPr>
              <w:t>ASSESSMENT INCOMPLETE</w:t>
            </w:r>
          </w:p>
        </w:tc>
      </w:tr>
      <w:tr>
        <w:trPr>
          <w:cantSplit/>
        </w:trPr>
        <w:tc>
          <w:tcPr>
            <w:tcW w:type="dxa" w:w="2088"/>
            <w:vAlign w:val="center"/>
            <w:tcMar>
              <w:top w:w="70" w:type="dxa"/>
              <w:bottom w:w="70" w:type="dxa"/>
              <w:start w:w="80" w:type="dxa"/>
              <w:end w:w="80" w:type="dxa"/>
            </w:tcMar>
            <w:shd w:fill="EDF4FA"/>
          </w:tcPr>
          <w:p>
            <w:pPr>
              <w:pStyle w:val="TableText"/>
            </w:pPr>
            <w:r/>
            <w:r>
              <w:rPr>
                <w:b w:val="0"/>
              </w:rPr>
              <w:t>Cephalic</w:t>
            </w:r>
          </w:p>
        </w:tc>
        <w:tc>
          <w:tcPr>
            <w:tcW w:type="dxa" w:w="1728"/>
            <w:vAlign w:val="center"/>
            <w:tcMar>
              <w:top w:w="70" w:type="dxa"/>
              <w:bottom w:w="70" w:type="dxa"/>
              <w:start w:w="80" w:type="dxa"/>
              <w:end w:w="80" w:type="dxa"/>
            </w:tcMar>
            <w:shd w:fill="EDF4FA"/>
          </w:tcPr>
          <w:p>
            <w:pPr>
              <w:pStyle w:val="TableText"/>
            </w:pPr>
            <w:r/>
            <w:r>
              <w:rPr>
                <w:b w:val="0"/>
              </w:rPr>
              <w:t>Normal</w:t>
            </w:r>
          </w:p>
        </w:tc>
        <w:tc>
          <w:tcPr>
            <w:tcW w:type="dxa" w:w="2376"/>
            <w:vAlign w:val="center"/>
            <w:tcMar>
              <w:top w:w="70" w:type="dxa"/>
              <w:bottom w:w="70" w:type="dxa"/>
              <w:start w:w="80" w:type="dxa"/>
              <w:end w:w="80" w:type="dxa"/>
            </w:tcMar>
            <w:shd w:fill="EDF4FA"/>
          </w:tcPr>
          <w:p>
            <w:pPr>
              <w:pStyle w:val="TableText"/>
            </w:pPr>
            <w:r/>
            <w:r>
              <w:rPr>
                <w:b w:val="0"/>
              </w:rPr>
              <w:t>Blank</w:t>
            </w:r>
          </w:p>
        </w:tc>
        <w:tc>
          <w:tcPr>
            <w:tcW w:type="dxa" w:w="1152"/>
            <w:vAlign w:val="center"/>
            <w:tcMar>
              <w:top w:w="70" w:type="dxa"/>
              <w:bottom w:w="70" w:type="dxa"/>
              <w:start w:w="80" w:type="dxa"/>
              <w:end w:w="80" w:type="dxa"/>
            </w:tcMar>
            <w:shd w:fill="EDF4FA"/>
          </w:tcPr>
          <w:p>
            <w:pPr>
              <w:pStyle w:val="TableText"/>
            </w:pPr>
            <w:r/>
            <w:r>
              <w:rPr>
                <w:b w:val="0"/>
              </w:rPr>
              <w:t>Any</w:t>
            </w:r>
          </w:p>
        </w:tc>
        <w:tc>
          <w:tcPr>
            <w:tcW w:type="dxa" w:w="3816"/>
            <w:vAlign w:val="center"/>
            <w:tcMar>
              <w:top w:w="70" w:type="dxa"/>
              <w:bottom w:w="70" w:type="dxa"/>
              <w:start w:w="80" w:type="dxa"/>
              <w:end w:w="80" w:type="dxa"/>
            </w:tcMar>
            <w:shd w:fill="EDF4FA"/>
          </w:tcPr>
          <w:p>
            <w:pPr>
              <w:pStyle w:val="TableText"/>
            </w:pPr>
            <w:r/>
            <w:r>
              <w:rPr>
                <w:b w:val="0"/>
              </w:rPr>
              <w:t>ASSESSMENT INCOMPLETE</w:t>
            </w:r>
          </w:p>
        </w:tc>
      </w:tr>
      <w:tr>
        <w:trPr>
          <w:cantSplit/>
        </w:trPr>
        <w:tc>
          <w:tcPr>
            <w:tcW w:type="dxa" w:w="2088"/>
            <w:vAlign w:val="center"/>
            <w:tcMar>
              <w:top w:w="70" w:type="dxa"/>
              <w:bottom w:w="70" w:type="dxa"/>
              <w:start w:w="80" w:type="dxa"/>
              <w:end w:w="80" w:type="dxa"/>
            </w:tcMar>
          </w:tcPr>
          <w:p>
            <w:pPr>
              <w:pStyle w:val="TableText"/>
            </w:pPr>
            <w:r/>
            <w:r>
              <w:rPr>
                <w:b w:val="0"/>
              </w:rPr>
              <w:t>Any HIGH ultrasound value</w:t>
            </w:r>
          </w:p>
        </w:tc>
        <w:tc>
          <w:tcPr>
            <w:tcW w:type="dxa" w:w="1728"/>
            <w:vAlign w:val="center"/>
            <w:tcMar>
              <w:top w:w="70" w:type="dxa"/>
              <w:bottom w:w="70" w:type="dxa"/>
              <w:start w:w="80" w:type="dxa"/>
              <w:end w:w="80" w:type="dxa"/>
            </w:tcMar>
          </w:tcPr>
          <w:p>
            <w:pPr>
              <w:pStyle w:val="TableText"/>
            </w:pPr>
            <w:r/>
            <w:r>
              <w:rPr>
                <w:b w:val="0"/>
              </w:rPr>
              <w:t>Any</w:t>
            </w:r>
          </w:p>
        </w:tc>
        <w:tc>
          <w:tcPr>
            <w:tcW w:type="dxa" w:w="2376"/>
            <w:vAlign w:val="center"/>
            <w:tcMar>
              <w:top w:w="70" w:type="dxa"/>
              <w:bottom w:w="70" w:type="dxa"/>
              <w:start w:w="80" w:type="dxa"/>
              <w:end w:w="80" w:type="dxa"/>
            </w:tcMar>
          </w:tcPr>
          <w:p>
            <w:pPr>
              <w:pStyle w:val="TableText"/>
            </w:pPr>
            <w:r/>
            <w:r>
              <w:rPr>
                <w:b w:val="0"/>
              </w:rPr>
              <w:t>Any</w:t>
            </w:r>
          </w:p>
        </w:tc>
        <w:tc>
          <w:tcPr>
            <w:tcW w:type="dxa" w:w="1152"/>
            <w:vAlign w:val="center"/>
            <w:tcMar>
              <w:top w:w="70" w:type="dxa"/>
              <w:bottom w:w="70" w:type="dxa"/>
              <w:start w:w="80" w:type="dxa"/>
              <w:end w:w="80" w:type="dxa"/>
            </w:tcMar>
          </w:tcPr>
          <w:p>
            <w:pPr>
              <w:pStyle w:val="TableText"/>
            </w:pPr>
            <w:r/>
            <w:r>
              <w:rPr>
                <w:b w:val="0"/>
              </w:rPr>
              <w:t>Invalid</w:t>
            </w:r>
          </w:p>
        </w:tc>
        <w:tc>
          <w:tcPr>
            <w:tcW w:type="dxa" w:w="3816"/>
            <w:vAlign w:val="center"/>
            <w:tcMar>
              <w:top w:w="70" w:type="dxa"/>
              <w:bottom w:w="70" w:type="dxa"/>
              <w:start w:w="80" w:type="dxa"/>
              <w:end w:w="80" w:type="dxa"/>
            </w:tcMar>
          </w:tcPr>
          <w:p>
            <w:pPr>
              <w:pStyle w:val="TableText"/>
            </w:pPr>
            <w:r/>
            <w:r>
              <w:rPr>
                <w:b w:val="0"/>
              </w:rPr>
              <w:t>HIGH, with ML failure recorded</w:t>
            </w:r>
          </w:p>
        </w:tc>
      </w:tr>
    </w:tbl>
    <w:p>
      <w:pPr>
        <w:spacing w:after="20"/>
      </w:pPr>
    </w:p>
    <w:tbl>
      <w:tblPr>
        <w:tblW w:type="auto" w:w="0"/>
        <w:tblLook w:firstColumn="1" w:firstRow="1" w:lastColumn="0" w:lastRow="0" w:noHBand="0" w:noVBand="1" w:val="04A0"/>
      </w:tblPr>
      <w:tblGrid>
        <w:gridCol w:w="10080"/>
      </w:tblGrid>
      <w:tr>
        <w:tc>
          <w:tcPr>
            <w:tcW w:type="dxa" w:w="10080"/>
            <w:shd w:fill="FCE4D6"/>
            <w:tcBorders>
              <w:top w:val="single" w:sz="8" w:color="C00000"/>
              <w:left w:val="single" w:sz="8" w:color="C00000"/>
              <w:bottom w:val="single" w:sz="8" w:color="C00000"/>
              <w:right w:val="single" w:sz="8" w:color="C00000"/>
            </w:tcBorders>
            <w:tcMar>
              <w:top w:w="110" w:type="dxa"/>
              <w:bottom w:w="110" w:type="dxa"/>
              <w:start w:w="120" w:type="dxa"/>
              <w:end w:w="120" w:type="dxa"/>
            </w:tcMar>
          </w:tcPr>
          <w:p>
            <w:pPr>
              <w:pStyle w:val="Callout"/>
            </w:pPr>
            <w:r/>
            <w:r>
              <w:rPr>
                <w:b/>
                <w:color w:val="C00000"/>
              </w:rPr>
              <w:t>Precedence</w:t>
              <w:br/>
            </w:r>
            <w:r>
              <w:t>Any valid ultrasound HIGH factor overrides LOW ML output. Missing required ultrasound data prevents LOW. Multiple ultrasound findings should produce one HIGH result with separate, nonduplicated reasons.</w:t>
            </w:r>
          </w:p>
        </w:tc>
      </w:tr>
    </w:tbl>
    <w:p>
      <w:pPr>
        <w:spacing w:after="20"/>
      </w:pPr>
    </w:p>
    <w:p>
      <w:pPr>
        <w:pStyle w:val="Heading1"/>
      </w:pPr>
      <w:r>
        <w:t>10. Implementation Traceability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656"/>
            <w:vAlign w:val="center"/>
            <w:tcMar>
              <w:top w:w="70" w:type="dxa"/>
              <w:bottom w:w="70" w:type="dxa"/>
              <w:start w:w="80" w:type="dxa"/>
              <w:end w:w="80" w:type="dxa"/>
            </w:tcMar>
            <w:shd w:fill="17365D"/>
          </w:tcPr>
          <w:p>
            <w:pPr>
              <w:pStyle w:val="TableHeader"/>
            </w:pPr>
            <w:r/>
            <w:r>
              <w:rPr>
                <w:b/>
                <w:color w:val="FFFFFF"/>
              </w:rPr>
              <w:t>Layer</w:t>
            </w:r>
          </w:p>
        </w:tc>
        <w:tc>
          <w:tcPr>
            <w:tcW w:type="dxa" w:w="4464"/>
            <w:vAlign w:val="center"/>
            <w:tcMar>
              <w:top w:w="70" w:type="dxa"/>
              <w:bottom w:w="70" w:type="dxa"/>
              <w:start w:w="80" w:type="dxa"/>
              <w:end w:w="80" w:type="dxa"/>
            </w:tcMar>
            <w:shd w:fill="17365D"/>
          </w:tcPr>
          <w:p>
            <w:pPr>
              <w:pStyle w:val="TableHeader"/>
            </w:pPr>
            <w:r/>
            <w:r>
              <w:rPr>
                <w:b/>
                <w:color w:val="FFFFFF"/>
              </w:rPr>
              <w:t>Expected implementation</w:t>
            </w:r>
          </w:p>
        </w:tc>
        <w:tc>
          <w:tcPr>
            <w:tcW w:type="dxa" w:w="4464"/>
            <w:vAlign w:val="center"/>
            <w:tcMar>
              <w:top w:w="70" w:type="dxa"/>
              <w:bottom w:w="70" w:type="dxa"/>
              <w:start w:w="80" w:type="dxa"/>
              <w:end w:w="80" w:type="dxa"/>
            </w:tcMar>
            <w:shd w:fill="17365D"/>
          </w:tcPr>
          <w:p>
            <w:pPr>
              <w:pStyle w:val="TableHeader"/>
            </w:pPr>
            <w:r/>
            <w:r>
              <w:rPr>
                <w:b/>
                <w:color w:val="FFFFFF"/>
              </w:rPr>
              <w:t>Safety requirement</w:t>
            </w:r>
          </w:p>
        </w:tc>
      </w:tr>
      <w:tr>
        <w:trPr>
          <w:cantSplit/>
        </w:trPr>
        <w:tc>
          <w:tcPr>
            <w:tcW w:type="dxa" w:w="1656"/>
            <w:vAlign w:val="center"/>
            <w:tcMar>
              <w:top w:w="70" w:type="dxa"/>
              <w:bottom w:w="70" w:type="dxa"/>
              <w:start w:w="80" w:type="dxa"/>
              <w:end w:w="80" w:type="dxa"/>
            </w:tcMar>
          </w:tcPr>
          <w:p>
            <w:pPr>
              <w:pStyle w:val="TableText"/>
            </w:pPr>
            <w:r/>
            <w:r>
              <w:rPr>
                <w:b w:val="0"/>
              </w:rPr>
              <w:t>Ultrasound form</w:t>
            </w:r>
          </w:p>
        </w:tc>
        <w:tc>
          <w:tcPr>
            <w:tcW w:type="dxa" w:w="4464"/>
            <w:vAlign w:val="center"/>
            <w:tcMar>
              <w:top w:w="70" w:type="dxa"/>
              <w:bottom w:w="70" w:type="dxa"/>
              <w:start w:w="80" w:type="dxa"/>
              <w:end w:w="80" w:type="dxa"/>
            </w:tcMar>
          </w:tcPr>
          <w:p>
            <w:pPr>
              <w:pStyle w:val="TableText"/>
            </w:pPr>
            <w:r/>
            <w:r>
              <w:rPr>
                <w:b w:val="0"/>
              </w:rPr>
              <w:t>Use controlled values for presentation, fluid, and heartbeat; store report date and gestational age.</w:t>
            </w:r>
          </w:p>
        </w:tc>
        <w:tc>
          <w:tcPr>
            <w:tcW w:type="dxa" w:w="4464"/>
            <w:vAlign w:val="center"/>
            <w:tcMar>
              <w:top w:w="70" w:type="dxa"/>
              <w:bottom w:w="70" w:type="dxa"/>
              <w:start w:w="80" w:type="dxa"/>
              <w:end w:w="80" w:type="dxa"/>
            </w:tcMar>
          </w:tcPr>
          <w:p>
            <w:pPr>
              <w:pStyle w:val="TableText"/>
            </w:pPr>
            <w:r/>
            <w:r>
              <w:rPr>
                <w:b w:val="0"/>
              </w:rPr>
              <w:t>Include Unknown/Not assessed; do not use blank as Normal.</w:t>
            </w:r>
          </w:p>
        </w:tc>
      </w:tr>
      <w:tr>
        <w:trPr>
          <w:cantSplit/>
        </w:trPr>
        <w:tc>
          <w:tcPr>
            <w:tcW w:type="dxa" w:w="1656"/>
            <w:vAlign w:val="center"/>
            <w:tcMar>
              <w:top w:w="70" w:type="dxa"/>
              <w:bottom w:w="70" w:type="dxa"/>
              <w:start w:w="80" w:type="dxa"/>
              <w:end w:w="80" w:type="dxa"/>
            </w:tcMar>
            <w:shd w:fill="EDF4FA"/>
          </w:tcPr>
          <w:p>
            <w:pPr>
              <w:pStyle w:val="TableText"/>
            </w:pPr>
            <w:r/>
            <w:r>
              <w:rPr>
                <w:b w:val="0"/>
              </w:rPr>
              <w:t>Report provenance</w:t>
            </w:r>
          </w:p>
        </w:tc>
        <w:tc>
          <w:tcPr>
            <w:tcW w:type="dxa" w:w="4464"/>
            <w:vAlign w:val="center"/>
            <w:tcMar>
              <w:top w:w="70" w:type="dxa"/>
              <w:bottom w:w="70" w:type="dxa"/>
              <w:start w:w="80" w:type="dxa"/>
              <w:end w:w="80" w:type="dxa"/>
            </w:tcMar>
            <w:shd w:fill="EDF4FA"/>
          </w:tcPr>
          <w:p>
            <w:pPr>
              <w:pStyle w:val="TableText"/>
            </w:pPr>
            <w:r/>
            <w:r>
              <w:rPr>
                <w:b w:val="0"/>
              </w:rPr>
              <w:t>Store facility, examiner/reporting professional, report identifier, and attachment or reference.</w:t>
            </w:r>
          </w:p>
        </w:tc>
        <w:tc>
          <w:tcPr>
            <w:tcW w:type="dxa" w:w="4464"/>
            <w:vAlign w:val="center"/>
            <w:tcMar>
              <w:top w:w="70" w:type="dxa"/>
              <w:bottom w:w="70" w:type="dxa"/>
              <w:start w:w="80" w:type="dxa"/>
              <w:end w:w="80" w:type="dxa"/>
            </w:tcMar>
            <w:shd w:fill="EDF4FA"/>
          </w:tcPr>
          <w:p>
            <w:pPr>
              <w:pStyle w:val="TableText"/>
            </w:pPr>
            <w:r/>
            <w:r>
              <w:rPr>
                <w:b w:val="0"/>
              </w:rPr>
              <w:t>Differentiate transcribed finding from system-generated output.</w:t>
            </w:r>
          </w:p>
        </w:tc>
      </w:tr>
      <w:tr>
        <w:trPr>
          <w:cantSplit/>
        </w:trPr>
        <w:tc>
          <w:tcPr>
            <w:tcW w:type="dxa" w:w="1656"/>
            <w:vAlign w:val="center"/>
            <w:tcMar>
              <w:top w:w="70" w:type="dxa"/>
              <w:bottom w:w="70" w:type="dxa"/>
              <w:start w:w="80" w:type="dxa"/>
              <w:end w:w="80" w:type="dxa"/>
            </w:tcMar>
          </w:tcPr>
          <w:p>
            <w:pPr>
              <w:pStyle w:val="TableText"/>
            </w:pPr>
            <w:r/>
            <w:r>
              <w:rPr>
                <w:b w:val="0"/>
              </w:rPr>
              <w:t>Controller/service</w:t>
            </w:r>
          </w:p>
        </w:tc>
        <w:tc>
          <w:tcPr>
            <w:tcW w:type="dxa" w:w="4464"/>
            <w:vAlign w:val="center"/>
            <w:tcMar>
              <w:top w:w="70" w:type="dxa"/>
              <w:bottom w:w="70" w:type="dxa"/>
              <w:start w:w="80" w:type="dxa"/>
              <w:end w:w="80" w:type="dxa"/>
            </w:tcMar>
          </w:tcPr>
          <w:p>
            <w:pPr>
              <w:pStyle w:val="TableText"/>
            </w:pPr>
            <w:r/>
            <w:r>
              <w:rPr>
                <w:b w:val="0"/>
              </w:rPr>
              <w:t>Normalize values and activate US-P01, US-AF01, and US-FH01 independently.</w:t>
            </w:r>
          </w:p>
        </w:tc>
        <w:tc>
          <w:tcPr>
            <w:tcW w:type="dxa" w:w="4464"/>
            <w:vAlign w:val="center"/>
            <w:tcMar>
              <w:top w:w="70" w:type="dxa"/>
              <w:bottom w:w="70" w:type="dxa"/>
              <w:start w:w="80" w:type="dxa"/>
              <w:end w:w="80" w:type="dxa"/>
            </w:tcMar>
          </w:tcPr>
          <w:p>
            <w:pPr>
              <w:pStyle w:val="TableText"/>
            </w:pPr>
            <w:r/>
            <w:r>
              <w:rPr>
                <w:b w:val="0"/>
              </w:rPr>
              <w:t>Recalculate after create/update and preserve all active reasons.</w:t>
            </w:r>
          </w:p>
        </w:tc>
      </w:tr>
      <w:tr>
        <w:trPr>
          <w:cantSplit/>
        </w:trPr>
        <w:tc>
          <w:tcPr>
            <w:tcW w:type="dxa" w:w="1656"/>
            <w:vAlign w:val="center"/>
            <w:tcMar>
              <w:top w:w="70" w:type="dxa"/>
              <w:bottom w:w="70" w:type="dxa"/>
              <w:start w:w="80" w:type="dxa"/>
              <w:end w:w="80" w:type="dxa"/>
            </w:tcMar>
            <w:shd w:fill="EDF4FA"/>
          </w:tcPr>
          <w:p>
            <w:pPr>
              <w:pStyle w:val="TableText"/>
            </w:pPr>
            <w:r/>
            <w:r>
              <w:rPr>
                <w:b w:val="0"/>
              </w:rPr>
              <w:t>Patient profile</w:t>
            </w:r>
          </w:p>
        </w:tc>
        <w:tc>
          <w:tcPr>
            <w:tcW w:type="dxa" w:w="4464"/>
            <w:vAlign w:val="center"/>
            <w:tcMar>
              <w:top w:w="70" w:type="dxa"/>
              <w:bottom w:w="70" w:type="dxa"/>
              <w:start w:w="80" w:type="dxa"/>
              <w:end w:w="80" w:type="dxa"/>
            </w:tcMar>
            <w:shd w:fill="EDF4FA"/>
          </w:tcPr>
          <w:p>
            <w:pPr>
              <w:pStyle w:val="TableText"/>
            </w:pPr>
            <w:r/>
            <w:r>
              <w:rPr>
                <w:b w:val="0"/>
              </w:rPr>
              <w:t>Show report date, gestational age, source, finding, HIGH badge, and plain-language explanation.</w:t>
            </w:r>
          </w:p>
        </w:tc>
        <w:tc>
          <w:tcPr>
            <w:tcW w:type="dxa" w:w="4464"/>
            <w:vAlign w:val="center"/>
            <w:tcMar>
              <w:top w:w="70" w:type="dxa"/>
              <w:bottom w:w="70" w:type="dxa"/>
              <w:start w:w="80" w:type="dxa"/>
              <w:end w:w="80" w:type="dxa"/>
            </w:tcMar>
            <w:shd w:fill="EDF4FA"/>
          </w:tcPr>
          <w:p>
            <w:pPr>
              <w:pStyle w:val="TableText"/>
            </w:pPr>
            <w:r/>
            <w:r>
              <w:rPr>
                <w:b w:val="0"/>
              </w:rPr>
              <w:t>Do not show invented measurements or diagnosis.</w:t>
            </w:r>
          </w:p>
        </w:tc>
      </w:tr>
      <w:tr>
        <w:trPr>
          <w:cantSplit/>
        </w:trPr>
        <w:tc>
          <w:tcPr>
            <w:tcW w:type="dxa" w:w="1656"/>
            <w:vAlign w:val="center"/>
            <w:tcMar>
              <w:top w:w="70" w:type="dxa"/>
              <w:bottom w:w="70" w:type="dxa"/>
              <w:start w:w="80" w:type="dxa"/>
              <w:end w:w="80" w:type="dxa"/>
            </w:tcMar>
          </w:tcPr>
          <w:p>
            <w:pPr>
              <w:pStyle w:val="TableText"/>
            </w:pPr>
            <w:r/>
            <w:r>
              <w:rPr>
                <w:b w:val="0"/>
              </w:rPr>
              <w:t>Referral workflow</w:t>
            </w:r>
          </w:p>
        </w:tc>
        <w:tc>
          <w:tcPr>
            <w:tcW w:type="dxa" w:w="4464"/>
            <w:vAlign w:val="center"/>
            <w:tcMar>
              <w:top w:w="70" w:type="dxa"/>
              <w:bottom w:w="70" w:type="dxa"/>
              <w:start w:w="80" w:type="dxa"/>
              <w:end w:w="80" w:type="dxa"/>
            </w:tcMar>
          </w:tcPr>
          <w:p>
            <w:pPr>
              <w:pStyle w:val="TableText"/>
            </w:pPr>
            <w:r/>
            <w:r>
              <w:rPr>
                <w:b w:val="0"/>
              </w:rPr>
              <w:t>Create referral-oriented recommendation and track status.</w:t>
            </w:r>
          </w:p>
        </w:tc>
        <w:tc>
          <w:tcPr>
            <w:tcW w:type="dxa" w:w="4464"/>
            <w:vAlign w:val="center"/>
            <w:tcMar>
              <w:top w:w="70" w:type="dxa"/>
              <w:bottom w:w="70" w:type="dxa"/>
              <w:start w:w="80" w:type="dxa"/>
              <w:end w:w="80" w:type="dxa"/>
            </w:tcMar>
          </w:tcPr>
          <w:p>
            <w:pPr>
              <w:pStyle w:val="TableText"/>
            </w:pPr>
            <w:r/>
            <w:r>
              <w:rPr>
                <w:b w:val="0"/>
              </w:rPr>
              <w:t>Do not equate referral creation with completed specialist care.</w:t>
            </w:r>
          </w:p>
        </w:tc>
      </w:tr>
      <w:tr>
        <w:trPr>
          <w:cantSplit/>
        </w:trPr>
        <w:tc>
          <w:tcPr>
            <w:tcW w:type="dxa" w:w="1656"/>
            <w:vAlign w:val="center"/>
            <w:tcMar>
              <w:top w:w="70" w:type="dxa"/>
              <w:bottom w:w="70" w:type="dxa"/>
              <w:start w:w="80" w:type="dxa"/>
              <w:end w:w="80" w:type="dxa"/>
            </w:tcMar>
            <w:shd w:fill="EDF4FA"/>
          </w:tcPr>
          <w:p>
            <w:pPr>
              <w:pStyle w:val="TableText"/>
            </w:pPr>
            <w:r/>
            <w:r>
              <w:rPr>
                <w:b w:val="0"/>
              </w:rPr>
              <w:t>Audit trail</w:t>
            </w:r>
          </w:p>
        </w:tc>
        <w:tc>
          <w:tcPr>
            <w:tcW w:type="dxa" w:w="4464"/>
            <w:vAlign w:val="center"/>
            <w:tcMar>
              <w:top w:w="70" w:type="dxa"/>
              <w:bottom w:w="70" w:type="dxa"/>
              <w:start w:w="80" w:type="dxa"/>
              <w:end w:w="80" w:type="dxa"/>
            </w:tcMar>
            <w:shd w:fill="EDF4FA"/>
          </w:tcPr>
          <w:p>
            <w:pPr>
              <w:pStyle w:val="TableText"/>
            </w:pPr>
            <w:r/>
            <w:r>
              <w:rPr>
                <w:b w:val="0"/>
              </w:rPr>
              <w:t>Store original/new values, source, user, timestamp, rule version, and final result.</w:t>
            </w:r>
          </w:p>
        </w:tc>
        <w:tc>
          <w:tcPr>
            <w:tcW w:type="dxa" w:w="4464"/>
            <w:vAlign w:val="center"/>
            <w:tcMar>
              <w:top w:w="70" w:type="dxa"/>
              <w:bottom w:w="70" w:type="dxa"/>
              <w:start w:w="80" w:type="dxa"/>
              <w:end w:w="80" w:type="dxa"/>
            </w:tcMar>
            <w:shd w:fill="EDF4FA"/>
          </w:tcPr>
          <w:p>
            <w:pPr>
              <w:pStyle w:val="TableText"/>
            </w:pPr>
            <w:r/>
            <w:r>
              <w:rPr>
                <w:b w:val="0"/>
              </w:rPr>
              <w:t>Protect against silent edits and transcription error.</w:t>
            </w:r>
          </w:p>
        </w:tc>
      </w:tr>
      <w:tr>
        <w:trPr>
          <w:cantSplit/>
        </w:trPr>
        <w:tc>
          <w:tcPr>
            <w:tcW w:type="dxa" w:w="1656"/>
            <w:vAlign w:val="center"/>
            <w:tcMar>
              <w:top w:w="70" w:type="dxa"/>
              <w:bottom w:w="70" w:type="dxa"/>
              <w:start w:w="80" w:type="dxa"/>
              <w:end w:w="80" w:type="dxa"/>
            </w:tcMar>
          </w:tcPr>
          <w:p>
            <w:pPr>
              <w:pStyle w:val="TableText"/>
            </w:pPr>
            <w:r/>
            <w:r>
              <w:rPr>
                <w:b w:val="0"/>
              </w:rPr>
              <w:t>Delivered workflow</w:t>
            </w:r>
          </w:p>
        </w:tc>
        <w:tc>
          <w:tcPr>
            <w:tcW w:type="dxa" w:w="4464"/>
            <w:vAlign w:val="center"/>
            <w:tcMar>
              <w:top w:w="70" w:type="dxa"/>
              <w:bottom w:w="70" w:type="dxa"/>
              <w:start w:w="80" w:type="dxa"/>
              <w:end w:w="80" w:type="dxa"/>
            </w:tcMar>
          </w:tcPr>
          <w:p>
            <w:pPr>
              <w:pStyle w:val="TableText"/>
            </w:pPr>
            <w:r/>
            <w:r>
              <w:rPr>
                <w:b w:val="0"/>
              </w:rPr>
              <w:t>Make completed pregnancy ultrasound records read-only.</w:t>
            </w:r>
          </w:p>
        </w:tc>
        <w:tc>
          <w:tcPr>
            <w:tcW w:type="dxa" w:w="4464"/>
            <w:vAlign w:val="center"/>
            <w:tcMar>
              <w:top w:w="70" w:type="dxa"/>
              <w:bottom w:w="70" w:type="dxa"/>
              <w:start w:w="80" w:type="dxa"/>
              <w:end w:w="80" w:type="dxa"/>
            </w:tcMar>
          </w:tcPr>
          <w:p>
            <w:pPr>
              <w:pStyle w:val="TableText"/>
            </w:pPr>
            <w:r/>
            <w:r>
              <w:rPr>
                <w:b w:val="0"/>
              </w:rPr>
              <w:t>New pregnancy must use new ultrasound records.</w:t>
            </w:r>
          </w:p>
        </w:tc>
      </w:tr>
    </w:tbl>
    <w:p>
      <w:pPr>
        <w:spacing w:after="20"/>
      </w:pPr>
    </w:p>
    <w:p>
      <w:pPr>
        <w:pStyle w:val="Heading1"/>
      </w:pPr>
      <w:r>
        <w:t>11. Explainability Library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vAlign w:val="center"/>
            <w:tcMar>
              <w:top w:w="70" w:type="dxa"/>
              <w:bottom w:w="70" w:type="dxa"/>
              <w:start w:w="80" w:type="dxa"/>
              <w:end w:w="80" w:type="dxa"/>
            </w:tcMar>
            <w:shd w:fill="17365D"/>
          </w:tcPr>
          <w:p>
            <w:pPr>
              <w:pStyle w:val="TableHeader"/>
            </w:pPr>
            <w:r/>
            <w:r>
              <w:rPr>
                <w:b/>
                <w:color w:val="FFFFFF"/>
              </w:rPr>
              <w:t>Context</w:t>
            </w:r>
          </w:p>
        </w:tc>
        <w:tc>
          <w:tcPr>
            <w:tcW w:type="dxa" w:w="7632"/>
            <w:vAlign w:val="center"/>
            <w:tcMar>
              <w:top w:w="70" w:type="dxa"/>
              <w:bottom w:w="70" w:type="dxa"/>
              <w:start w:w="80" w:type="dxa"/>
              <w:end w:w="80" w:type="dxa"/>
            </w:tcMar>
            <w:shd w:fill="17365D"/>
          </w:tcPr>
          <w:p>
            <w:pPr>
              <w:pStyle w:val="TableHeader"/>
            </w:pPr>
            <w:r/>
            <w:r>
              <w:rPr>
                <w:b/>
                <w:color w:val="FFFFFF"/>
              </w:rPr>
              <w:t>Approved wording</w:t>
            </w:r>
          </w:p>
        </w:tc>
      </w:tr>
      <w:tr>
        <w:trPr>
          <w:cantSplit/>
        </w:trPr>
        <w:tc>
          <w:tcPr>
            <w:tcW w:type="dxa" w:w="2448"/>
            <w:vAlign w:val="center"/>
            <w:tcMar>
              <w:top w:w="70" w:type="dxa"/>
              <w:bottom w:w="70" w:type="dxa"/>
              <w:start w:w="80" w:type="dxa"/>
              <w:end w:w="80" w:type="dxa"/>
            </w:tcMar>
          </w:tcPr>
          <w:p>
            <w:pPr>
              <w:pStyle w:val="TableText"/>
            </w:pPr>
            <w:r/>
            <w:r>
              <w:rPr>
                <w:b w:val="0"/>
              </w:rPr>
              <w:t>Breech</w:t>
            </w:r>
          </w:p>
        </w:tc>
        <w:tc>
          <w:tcPr>
            <w:tcW w:type="dxa" w:w="7632"/>
            <w:vAlign w:val="center"/>
            <w:tcMar>
              <w:top w:w="70" w:type="dxa"/>
              <w:bottom w:w="70" w:type="dxa"/>
              <w:start w:w="80" w:type="dxa"/>
              <w:end w:w="80" w:type="dxa"/>
            </w:tcMar>
          </w:tcPr>
          <w:p>
            <w:pPr>
              <w:pStyle w:val="TableText"/>
            </w:pPr>
            <w:r/>
            <w:r>
              <w:rPr>
                <w:b w:val="0"/>
              </w:rPr>
              <w:t>The ultrasound report records breech presentation. Presentation near birth affects delivery planning and requires obstetric review.</w:t>
            </w:r>
          </w:p>
        </w:tc>
      </w:tr>
      <w:tr>
        <w:trPr>
          <w:cantSplit/>
        </w:trPr>
        <w:tc>
          <w:tcPr>
            <w:tcW w:type="dxa" w:w="2448"/>
            <w:vAlign w:val="center"/>
            <w:tcMar>
              <w:top w:w="70" w:type="dxa"/>
              <w:bottom w:w="70" w:type="dxa"/>
              <w:start w:w="80" w:type="dxa"/>
              <w:end w:w="80" w:type="dxa"/>
            </w:tcMar>
            <w:shd w:fill="EDF4FA"/>
          </w:tcPr>
          <w:p>
            <w:pPr>
              <w:pStyle w:val="TableText"/>
            </w:pPr>
            <w:r/>
            <w:r>
              <w:rPr>
                <w:b w:val="0"/>
              </w:rPr>
              <w:t>Transverse/oblique</w:t>
            </w:r>
          </w:p>
        </w:tc>
        <w:tc>
          <w:tcPr>
            <w:tcW w:type="dxa" w:w="7632"/>
            <w:vAlign w:val="center"/>
            <w:tcMar>
              <w:top w:w="70" w:type="dxa"/>
              <w:bottom w:w="70" w:type="dxa"/>
              <w:start w:w="80" w:type="dxa"/>
              <w:end w:w="80" w:type="dxa"/>
            </w:tcMar>
            <w:shd w:fill="EDF4FA"/>
          </w:tcPr>
          <w:p>
            <w:pPr>
              <w:pStyle w:val="TableText"/>
            </w:pPr>
            <w:r/>
            <w:r>
              <w:rPr>
                <w:b w:val="0"/>
              </w:rPr>
              <w:t>The ultrasound report records transverse or oblique lie. This position may not be suitable for routine vaginal delivery and requires hospital birth planning.</w:t>
            </w:r>
          </w:p>
        </w:tc>
      </w:tr>
      <w:tr>
        <w:trPr>
          <w:cantSplit/>
        </w:trPr>
        <w:tc>
          <w:tcPr>
            <w:tcW w:type="dxa" w:w="2448"/>
            <w:vAlign w:val="center"/>
            <w:tcMar>
              <w:top w:w="70" w:type="dxa"/>
              <w:bottom w:w="70" w:type="dxa"/>
              <w:start w:w="80" w:type="dxa"/>
              <w:end w:w="80" w:type="dxa"/>
            </w:tcMar>
          </w:tcPr>
          <w:p>
            <w:pPr>
              <w:pStyle w:val="TableText"/>
            </w:pPr>
            <w:r/>
            <w:r>
              <w:rPr>
                <w:b w:val="0"/>
              </w:rPr>
              <w:t>Low fluid</w:t>
            </w:r>
          </w:p>
        </w:tc>
        <w:tc>
          <w:tcPr>
            <w:tcW w:type="dxa" w:w="7632"/>
            <w:vAlign w:val="center"/>
            <w:tcMar>
              <w:top w:w="70" w:type="dxa"/>
              <w:bottom w:w="70" w:type="dxa"/>
              <w:start w:w="80" w:type="dxa"/>
              <w:end w:w="80" w:type="dxa"/>
            </w:tcMar>
          </w:tcPr>
          <w:p>
            <w:pPr>
              <w:pStyle w:val="TableText"/>
            </w:pPr>
            <w:r/>
            <w:r>
              <w:rPr>
                <w:b w:val="0"/>
              </w:rPr>
              <w:t>The report records low amniotic fluid. The amount, cause, fetal growth, membrane status, and gestational age require clinical evaluation.</w:t>
            </w:r>
          </w:p>
        </w:tc>
      </w:tr>
      <w:tr>
        <w:trPr>
          <w:cantSplit/>
        </w:trPr>
        <w:tc>
          <w:tcPr>
            <w:tcW w:type="dxa" w:w="2448"/>
            <w:vAlign w:val="center"/>
            <w:tcMar>
              <w:top w:w="70" w:type="dxa"/>
              <w:bottom w:w="70" w:type="dxa"/>
              <w:start w:w="80" w:type="dxa"/>
              <w:end w:w="80" w:type="dxa"/>
            </w:tcMar>
            <w:shd w:fill="EDF4FA"/>
          </w:tcPr>
          <w:p>
            <w:pPr>
              <w:pStyle w:val="TableText"/>
            </w:pPr>
            <w:r/>
            <w:r>
              <w:rPr>
                <w:b w:val="0"/>
              </w:rPr>
              <w:t>High fluid</w:t>
            </w:r>
          </w:p>
        </w:tc>
        <w:tc>
          <w:tcPr>
            <w:tcW w:type="dxa" w:w="7632"/>
            <w:vAlign w:val="center"/>
            <w:tcMar>
              <w:top w:w="70" w:type="dxa"/>
              <w:bottom w:w="70" w:type="dxa"/>
              <w:start w:w="80" w:type="dxa"/>
              <w:end w:w="80" w:type="dxa"/>
            </w:tcMar>
            <w:shd w:fill="EDF4FA"/>
          </w:tcPr>
          <w:p>
            <w:pPr>
              <w:pStyle w:val="TableText"/>
            </w:pPr>
            <w:r/>
            <w:r>
              <w:rPr>
                <w:b w:val="0"/>
              </w:rPr>
              <w:t>The report records high amniotic fluid. Severity and possible maternal or fetal causes require clinical evaluation and birth planning.</w:t>
            </w:r>
          </w:p>
        </w:tc>
      </w:tr>
      <w:tr>
        <w:trPr>
          <w:cantSplit/>
        </w:trPr>
        <w:tc>
          <w:tcPr>
            <w:tcW w:type="dxa" w:w="2448"/>
            <w:vAlign w:val="center"/>
            <w:tcMar>
              <w:top w:w="70" w:type="dxa"/>
              <w:bottom w:w="70" w:type="dxa"/>
              <w:start w:w="80" w:type="dxa"/>
              <w:end w:w="80" w:type="dxa"/>
            </w:tcMar>
          </w:tcPr>
          <w:p>
            <w:pPr>
              <w:pStyle w:val="TableText"/>
            </w:pPr>
            <w:r/>
            <w:r>
              <w:rPr>
                <w:b w:val="0"/>
              </w:rPr>
              <w:t>Weak/abnormal heartbeat</w:t>
            </w:r>
          </w:p>
        </w:tc>
        <w:tc>
          <w:tcPr>
            <w:tcW w:type="dxa" w:w="7632"/>
            <w:vAlign w:val="center"/>
            <w:tcMar>
              <w:top w:w="70" w:type="dxa"/>
              <w:bottom w:w="70" w:type="dxa"/>
              <w:start w:w="80" w:type="dxa"/>
              <w:end w:w="80" w:type="dxa"/>
            </w:tcMar>
          </w:tcPr>
          <w:p>
            <w:pPr>
              <w:pStyle w:val="TableText"/>
            </w:pPr>
            <w:r/>
            <w:r>
              <w:rPr>
                <w:b w:val="0"/>
              </w:rPr>
              <w:t>The report contains a fetal cardiac warning. The wording is not a diagnosis and requires prompt verification by a qualified clinician.</w:t>
            </w:r>
          </w:p>
        </w:tc>
      </w:tr>
      <w:tr>
        <w:trPr>
          <w:cantSplit/>
        </w:trPr>
        <w:tc>
          <w:tcPr>
            <w:tcW w:type="dxa" w:w="2448"/>
            <w:vAlign w:val="center"/>
            <w:tcMar>
              <w:top w:w="70" w:type="dxa"/>
              <w:bottom w:w="70" w:type="dxa"/>
              <w:start w:w="80" w:type="dxa"/>
              <w:end w:w="80" w:type="dxa"/>
            </w:tcMar>
            <w:shd w:fill="EDF4FA"/>
          </w:tcPr>
          <w:p>
            <w:pPr>
              <w:pStyle w:val="TableText"/>
            </w:pPr>
            <w:r/>
            <w:r>
              <w:rPr>
                <w:b w:val="0"/>
              </w:rPr>
              <w:t>Absent heartbeat</w:t>
            </w:r>
          </w:p>
        </w:tc>
        <w:tc>
          <w:tcPr>
            <w:tcW w:type="dxa" w:w="7632"/>
            <w:vAlign w:val="center"/>
            <w:tcMar>
              <w:top w:w="70" w:type="dxa"/>
              <w:bottom w:w="70" w:type="dxa"/>
              <w:start w:w="80" w:type="dxa"/>
              <w:end w:w="80" w:type="dxa"/>
            </w:tcMar>
            <w:shd w:fill="EDF4FA"/>
          </w:tcPr>
          <w:p>
            <w:pPr>
              <w:pStyle w:val="TableText"/>
            </w:pPr>
            <w:r/>
            <w:r>
              <w:rPr>
                <w:b w:val="0"/>
              </w:rPr>
              <w:t>The report states that cardiac activity was not seen. Urgent qualified review is required; the CDSS does not confirm pregnancy loss.</w:t>
            </w:r>
          </w:p>
        </w:tc>
      </w:tr>
      <w:tr>
        <w:trPr>
          <w:cantSplit/>
        </w:trPr>
        <w:tc>
          <w:tcPr>
            <w:tcW w:type="dxa" w:w="2448"/>
            <w:vAlign w:val="center"/>
            <w:tcMar>
              <w:top w:w="70" w:type="dxa"/>
              <w:bottom w:w="70" w:type="dxa"/>
              <w:start w:w="80" w:type="dxa"/>
              <w:end w:w="80" w:type="dxa"/>
            </w:tcMar>
          </w:tcPr>
          <w:p>
            <w:pPr>
              <w:pStyle w:val="TableText"/>
            </w:pPr>
            <w:r/>
            <w:r>
              <w:rPr>
                <w:b w:val="0"/>
              </w:rPr>
              <w:t>Patient-facing boundary</w:t>
            </w:r>
          </w:p>
        </w:tc>
        <w:tc>
          <w:tcPr>
            <w:tcW w:type="dxa" w:w="7632"/>
            <w:vAlign w:val="center"/>
            <w:tcMar>
              <w:top w:w="70" w:type="dxa"/>
              <w:bottom w:w="70" w:type="dxa"/>
              <w:start w:w="80" w:type="dxa"/>
              <w:end w:w="80" w:type="dxa"/>
            </w:tcMar>
          </w:tcPr>
          <w:p>
            <w:pPr>
              <w:pStyle w:val="TableText"/>
            </w:pPr>
            <w:r/>
            <w:r>
              <w:rPr>
                <w:b w:val="0"/>
              </w:rPr>
              <w:t>The system copied these findings from the ultrasound record. It did not analyze the scan and cannot decide the diagnosis or delivery method.</w:t>
            </w:r>
          </w:p>
        </w:tc>
      </w:tr>
    </w:tbl>
    <w:p>
      <w:pPr>
        <w:spacing w:after="20"/>
      </w:pPr>
    </w:p>
    <w:p>
      <w:pPr>
        <w:pStyle w:val="Heading1"/>
      </w:pPr>
      <w:r>
        <w:t>12. Recommendation and Urgency Mapping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304"/>
            <w:vAlign w:val="center"/>
            <w:tcMar>
              <w:top w:w="70" w:type="dxa"/>
              <w:bottom w:w="70" w:type="dxa"/>
              <w:start w:w="80" w:type="dxa"/>
              <w:end w:w="80" w:type="dxa"/>
            </w:tcMar>
            <w:shd w:fill="17365D"/>
          </w:tcPr>
          <w:p>
            <w:pPr>
              <w:pStyle w:val="TableHeader"/>
            </w:pPr>
            <w:r/>
            <w:r>
              <w:rPr>
                <w:b/>
                <w:color w:val="FFFFFF"/>
              </w:rPr>
              <w:t>Finding/state</w:t>
            </w:r>
          </w:p>
        </w:tc>
        <w:tc>
          <w:tcPr>
            <w:tcW w:type="dxa" w:w="4896"/>
            <w:vAlign w:val="center"/>
            <w:tcMar>
              <w:top w:w="70" w:type="dxa"/>
              <w:bottom w:w="70" w:type="dxa"/>
              <w:start w:w="80" w:type="dxa"/>
              <w:end w:w="80" w:type="dxa"/>
            </w:tcMar>
            <w:shd w:fill="17365D"/>
          </w:tcPr>
          <w:p>
            <w:pPr>
              <w:pStyle w:val="TableHeader"/>
            </w:pPr>
            <w:r/>
            <w:r>
              <w:rPr>
                <w:b/>
                <w:color w:val="FFFFFF"/>
              </w:rPr>
              <w:t>CDSS action</w:t>
            </w:r>
          </w:p>
        </w:tc>
        <w:tc>
          <w:tcPr>
            <w:tcW w:type="dxa" w:w="4104"/>
            <w:vAlign w:val="center"/>
            <w:tcMar>
              <w:top w:w="70" w:type="dxa"/>
              <w:bottom w:w="70" w:type="dxa"/>
              <w:start w:w="80" w:type="dxa"/>
              <w:end w:w="80" w:type="dxa"/>
            </w:tcMar>
            <w:shd w:fill="17365D"/>
          </w:tcPr>
          <w:p>
            <w:pPr>
              <w:pStyle w:val="TableHeader"/>
            </w:pPr>
            <w:r/>
            <w:r>
              <w:rPr>
                <w:b/>
                <w:color w:val="FFFFFF"/>
              </w:rPr>
              <w:t>Excluded action</w:t>
            </w:r>
          </w:p>
        </w:tc>
      </w:tr>
      <w:tr>
        <w:trPr>
          <w:cantSplit/>
        </w:trPr>
        <w:tc>
          <w:tcPr>
            <w:tcW w:type="dxa" w:w="2304"/>
            <w:vAlign w:val="center"/>
            <w:tcMar>
              <w:top w:w="70" w:type="dxa"/>
              <w:bottom w:w="70" w:type="dxa"/>
              <w:start w:w="80" w:type="dxa"/>
              <w:end w:w="80" w:type="dxa"/>
            </w:tcMar>
          </w:tcPr>
          <w:p>
            <w:pPr>
              <w:pStyle w:val="TableText"/>
            </w:pPr>
            <w:r/>
            <w:r>
              <w:rPr>
                <w:b w:val="0"/>
              </w:rPr>
              <w:t>Persistent non-cephalic presentation near term</w:t>
            </w:r>
          </w:p>
        </w:tc>
        <w:tc>
          <w:tcPr>
            <w:tcW w:type="dxa" w:w="4896"/>
            <w:vAlign w:val="center"/>
            <w:tcMar>
              <w:top w:w="70" w:type="dxa"/>
              <w:bottom w:w="70" w:type="dxa"/>
              <w:start w:w="80" w:type="dxa"/>
              <w:end w:w="80" w:type="dxa"/>
            </w:tcMar>
          </w:tcPr>
          <w:p>
            <w:pPr>
              <w:pStyle w:val="TableText"/>
            </w:pPr>
            <w:r/>
            <w:r>
              <w:rPr>
                <w:b w:val="0"/>
              </w:rPr>
              <w:t>Prompt obstetric review and documented hospital birth plan.</w:t>
            </w:r>
          </w:p>
        </w:tc>
        <w:tc>
          <w:tcPr>
            <w:tcW w:type="dxa" w:w="4104"/>
            <w:vAlign w:val="center"/>
            <w:tcMar>
              <w:top w:w="70" w:type="dxa"/>
              <w:bottom w:w="70" w:type="dxa"/>
              <w:start w:w="80" w:type="dxa"/>
              <w:end w:w="80" w:type="dxa"/>
            </w:tcMar>
          </w:tcPr>
          <w:p>
            <w:pPr>
              <w:pStyle w:val="TableText"/>
            </w:pPr>
            <w:r/>
            <w:r>
              <w:rPr>
                <w:b w:val="0"/>
              </w:rPr>
              <w:t>Selecting ECV, vaginal breech birth, or cesarean.</w:t>
            </w:r>
          </w:p>
        </w:tc>
      </w:tr>
      <w:tr>
        <w:trPr>
          <w:cantSplit/>
        </w:trPr>
        <w:tc>
          <w:tcPr>
            <w:tcW w:type="dxa" w:w="2304"/>
            <w:vAlign w:val="center"/>
            <w:tcMar>
              <w:top w:w="70" w:type="dxa"/>
              <w:bottom w:w="70" w:type="dxa"/>
              <w:start w:w="80" w:type="dxa"/>
              <w:end w:w="80" w:type="dxa"/>
            </w:tcMar>
            <w:shd w:fill="EDF4FA"/>
          </w:tcPr>
          <w:p>
            <w:pPr>
              <w:pStyle w:val="TableText"/>
            </w:pPr>
            <w:r/>
            <w:r>
              <w:rPr>
                <w:b w:val="0"/>
              </w:rPr>
              <w:t>Low/high fluid</w:t>
            </w:r>
          </w:p>
        </w:tc>
        <w:tc>
          <w:tcPr>
            <w:tcW w:type="dxa" w:w="4896"/>
            <w:vAlign w:val="center"/>
            <w:tcMar>
              <w:top w:w="70" w:type="dxa"/>
              <w:bottom w:w="70" w:type="dxa"/>
              <w:start w:w="80" w:type="dxa"/>
              <w:end w:w="80" w:type="dxa"/>
            </w:tcMar>
            <w:shd w:fill="EDF4FA"/>
          </w:tcPr>
          <w:p>
            <w:pPr>
              <w:pStyle w:val="TableText"/>
            </w:pPr>
            <w:r/>
            <w:r>
              <w:rPr>
                <w:b w:val="0"/>
              </w:rPr>
              <w:t>Prompt confirmation of measurement, severity, cause, fetal growth/well-being, and specialist plan.</w:t>
            </w:r>
          </w:p>
        </w:tc>
        <w:tc>
          <w:tcPr>
            <w:tcW w:type="dxa" w:w="4104"/>
            <w:vAlign w:val="center"/>
            <w:tcMar>
              <w:top w:w="70" w:type="dxa"/>
              <w:bottom w:w="70" w:type="dxa"/>
              <w:start w:w="80" w:type="dxa"/>
              <w:end w:w="80" w:type="dxa"/>
            </w:tcMar>
            <w:shd w:fill="EDF4FA"/>
          </w:tcPr>
          <w:p>
            <w:pPr>
              <w:pStyle w:val="TableText"/>
            </w:pPr>
            <w:r/>
            <w:r>
              <w:rPr>
                <w:b w:val="0"/>
              </w:rPr>
              <w:t>Prescribing hydration or choosing surveillance/delivery schedule.</w:t>
            </w:r>
          </w:p>
        </w:tc>
      </w:tr>
      <w:tr>
        <w:trPr>
          <w:cantSplit/>
        </w:trPr>
        <w:tc>
          <w:tcPr>
            <w:tcW w:type="dxa" w:w="2304"/>
            <w:vAlign w:val="center"/>
            <w:tcMar>
              <w:top w:w="70" w:type="dxa"/>
              <w:bottom w:w="70" w:type="dxa"/>
              <w:start w:w="80" w:type="dxa"/>
              <w:end w:w="80" w:type="dxa"/>
            </w:tcMar>
          </w:tcPr>
          <w:p>
            <w:pPr>
              <w:pStyle w:val="TableText"/>
            </w:pPr>
            <w:r/>
            <w:r>
              <w:rPr>
                <w:b w:val="0"/>
              </w:rPr>
              <w:t>Weak/abnormal cardiac entry</w:t>
            </w:r>
          </w:p>
        </w:tc>
        <w:tc>
          <w:tcPr>
            <w:tcW w:type="dxa" w:w="4896"/>
            <w:vAlign w:val="center"/>
            <w:tcMar>
              <w:top w:w="70" w:type="dxa"/>
              <w:bottom w:w="70" w:type="dxa"/>
              <w:start w:w="80" w:type="dxa"/>
              <w:end w:w="80" w:type="dxa"/>
            </w:tcMar>
          </w:tcPr>
          <w:p>
            <w:pPr>
              <w:pStyle w:val="TableText"/>
            </w:pPr>
            <w:r/>
            <w:r>
              <w:rPr>
                <w:b w:val="0"/>
              </w:rPr>
              <w:t>Prompt same-day or urgency-appropriate review depending on report and symptoms.</w:t>
            </w:r>
          </w:p>
        </w:tc>
        <w:tc>
          <w:tcPr>
            <w:tcW w:type="dxa" w:w="4104"/>
            <w:vAlign w:val="center"/>
            <w:tcMar>
              <w:top w:w="70" w:type="dxa"/>
              <w:bottom w:w="70" w:type="dxa"/>
              <w:start w:w="80" w:type="dxa"/>
              <w:end w:w="80" w:type="dxa"/>
            </w:tcMar>
          </w:tcPr>
          <w:p>
            <w:pPr>
              <w:pStyle w:val="TableText"/>
            </w:pPr>
            <w:r/>
            <w:r>
              <w:rPr>
                <w:b w:val="0"/>
              </w:rPr>
              <w:t>Interpreting rhythm or fetal-monitoring category.</w:t>
            </w:r>
          </w:p>
        </w:tc>
      </w:tr>
      <w:tr>
        <w:trPr>
          <w:cantSplit/>
        </w:trPr>
        <w:tc>
          <w:tcPr>
            <w:tcW w:type="dxa" w:w="2304"/>
            <w:vAlign w:val="center"/>
            <w:tcMar>
              <w:top w:w="70" w:type="dxa"/>
              <w:bottom w:w="70" w:type="dxa"/>
              <w:start w:w="80" w:type="dxa"/>
              <w:end w:w="80" w:type="dxa"/>
            </w:tcMar>
            <w:shd w:fill="EDF4FA"/>
          </w:tcPr>
          <w:p>
            <w:pPr>
              <w:pStyle w:val="TableText"/>
            </w:pPr>
            <w:r/>
            <w:r>
              <w:rPr>
                <w:b w:val="0"/>
              </w:rPr>
              <w:t>Absent cardiac activity</w:t>
            </w:r>
          </w:p>
        </w:tc>
        <w:tc>
          <w:tcPr>
            <w:tcW w:type="dxa" w:w="4896"/>
            <w:vAlign w:val="center"/>
            <w:tcMar>
              <w:top w:w="70" w:type="dxa"/>
              <w:bottom w:w="70" w:type="dxa"/>
              <w:start w:w="80" w:type="dxa"/>
              <w:end w:w="80" w:type="dxa"/>
            </w:tcMar>
            <w:shd w:fill="EDF4FA"/>
          </w:tcPr>
          <w:p>
            <w:pPr>
              <w:pStyle w:val="TableText"/>
            </w:pPr>
            <w:r/>
            <w:r>
              <w:rPr>
                <w:b w:val="0"/>
              </w:rPr>
              <w:t>Display urgent confirmation pathway; use emergency pathway if pain, bleeding, collapse, or instability.</w:t>
            </w:r>
          </w:p>
        </w:tc>
        <w:tc>
          <w:tcPr>
            <w:tcW w:type="dxa" w:w="4104"/>
            <w:vAlign w:val="center"/>
            <w:tcMar>
              <w:top w:w="70" w:type="dxa"/>
              <w:bottom w:w="70" w:type="dxa"/>
              <w:start w:w="80" w:type="dxa"/>
              <w:end w:w="80" w:type="dxa"/>
            </w:tcMar>
            <w:shd w:fill="EDF4FA"/>
          </w:tcPr>
          <w:p>
            <w:pPr>
              <w:pStyle w:val="TableText"/>
            </w:pPr>
            <w:r/>
            <w:r>
              <w:rPr>
                <w:b w:val="0"/>
              </w:rPr>
              <w:t>Confirming miscarriage/fetal death or recommending treatment.</w:t>
            </w:r>
          </w:p>
        </w:tc>
      </w:tr>
      <w:tr>
        <w:trPr>
          <w:cantSplit/>
        </w:trPr>
        <w:tc>
          <w:tcPr>
            <w:tcW w:type="dxa" w:w="2304"/>
            <w:vAlign w:val="center"/>
            <w:tcMar>
              <w:top w:w="70" w:type="dxa"/>
              <w:bottom w:w="70" w:type="dxa"/>
              <w:start w:w="80" w:type="dxa"/>
              <w:end w:w="80" w:type="dxa"/>
            </w:tcMar>
          </w:tcPr>
          <w:p>
            <w:pPr>
              <w:pStyle w:val="TableText"/>
            </w:pPr>
            <w:r/>
            <w:r>
              <w:rPr>
                <w:b w:val="0"/>
              </w:rPr>
              <w:t>Missing/uncertain report</w:t>
            </w:r>
          </w:p>
        </w:tc>
        <w:tc>
          <w:tcPr>
            <w:tcW w:type="dxa" w:w="4896"/>
            <w:vAlign w:val="center"/>
            <w:tcMar>
              <w:top w:w="70" w:type="dxa"/>
              <w:bottom w:w="70" w:type="dxa"/>
              <w:start w:w="80" w:type="dxa"/>
              <w:end w:w="80" w:type="dxa"/>
            </w:tcMar>
          </w:tcPr>
          <w:p>
            <w:pPr>
              <w:pStyle w:val="TableText"/>
            </w:pPr>
            <w:r/>
            <w:r>
              <w:rPr>
                <w:b w:val="0"/>
              </w:rPr>
              <w:t>Mark assessment incomplete and seek the signed report or qualified reassessment.</w:t>
            </w:r>
          </w:p>
        </w:tc>
        <w:tc>
          <w:tcPr>
            <w:tcW w:type="dxa" w:w="4104"/>
            <w:vAlign w:val="center"/>
            <w:tcMar>
              <w:top w:w="70" w:type="dxa"/>
              <w:bottom w:w="70" w:type="dxa"/>
              <w:start w:w="80" w:type="dxa"/>
              <w:end w:w="80" w:type="dxa"/>
            </w:tcMar>
          </w:tcPr>
          <w:p>
            <w:pPr>
              <w:pStyle w:val="TableText"/>
            </w:pPr>
            <w:r/>
            <w:r>
              <w:rPr>
                <w:b w:val="0"/>
              </w:rPr>
              <w:t>Defaulting to normal.</w:t>
            </w:r>
          </w:p>
        </w:tc>
      </w:tr>
      <w:tr>
        <w:trPr>
          <w:cantSplit/>
        </w:trPr>
        <w:tc>
          <w:tcPr>
            <w:tcW w:type="dxa" w:w="2304"/>
            <w:vAlign w:val="center"/>
            <w:tcMar>
              <w:top w:w="70" w:type="dxa"/>
              <w:bottom w:w="70" w:type="dxa"/>
              <w:start w:w="80" w:type="dxa"/>
              <w:end w:w="80" w:type="dxa"/>
            </w:tcMar>
            <w:shd w:fill="EDF4FA"/>
          </w:tcPr>
          <w:p>
            <w:pPr>
              <w:pStyle w:val="TableText"/>
            </w:pPr>
            <w:r/>
            <w:r>
              <w:rPr>
                <w:b w:val="0"/>
              </w:rPr>
              <w:t>Referral refused</w:t>
            </w:r>
          </w:p>
        </w:tc>
        <w:tc>
          <w:tcPr>
            <w:tcW w:type="dxa" w:w="4896"/>
            <w:vAlign w:val="center"/>
            <w:tcMar>
              <w:top w:w="70" w:type="dxa"/>
              <w:bottom w:w="70" w:type="dxa"/>
              <w:start w:w="80" w:type="dxa"/>
              <w:end w:w="80" w:type="dxa"/>
            </w:tcMar>
            <w:shd w:fill="EDF4FA"/>
          </w:tcPr>
          <w:p>
            <w:pPr>
              <w:pStyle w:val="TableText"/>
            </w:pPr>
            <w:r/>
            <w:r>
              <w:rPr>
                <w:b w:val="0"/>
              </w:rPr>
              <w:t>Maintain HIGH; document counseling, unresolved risk, refusal, and safety net.</w:t>
            </w:r>
          </w:p>
        </w:tc>
        <w:tc>
          <w:tcPr>
            <w:tcW w:type="dxa" w:w="4104"/>
            <w:vAlign w:val="center"/>
            <w:tcMar>
              <w:top w:w="70" w:type="dxa"/>
              <w:bottom w:w="70" w:type="dxa"/>
              <w:start w:w="80" w:type="dxa"/>
              <w:end w:w="80" w:type="dxa"/>
            </w:tcMar>
            <w:shd w:fill="EDF4FA"/>
          </w:tcPr>
          <w:p>
            <w:pPr>
              <w:pStyle w:val="TableText"/>
            </w:pPr>
            <w:r/>
            <w:r>
              <w:rPr>
                <w:b w:val="0"/>
              </w:rPr>
              <w:t>Removing the finding or treating waiver as risk resolution.</w:t>
            </w:r>
          </w:p>
        </w:tc>
      </w:tr>
    </w:tbl>
    <w:p>
      <w:pPr>
        <w:spacing w:after="20"/>
      </w:pPr>
    </w:p>
    <w:p>
      <w:pPr>
        <w:pStyle w:val="Heading1"/>
      </w:pPr>
      <w:r>
        <w:t>13. Clinical Limitations and Failure Modes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880"/>
            <w:vAlign w:val="center"/>
            <w:tcMar>
              <w:top w:w="70" w:type="dxa"/>
              <w:bottom w:w="70" w:type="dxa"/>
              <w:start w:w="80" w:type="dxa"/>
              <w:end w:w="80" w:type="dxa"/>
            </w:tcMar>
            <w:shd w:fill="17365D"/>
          </w:tcPr>
          <w:p>
            <w:pPr>
              <w:pStyle w:val="TableHeader"/>
            </w:pPr>
            <w:r/>
            <w:r>
              <w:rPr>
                <w:b/>
                <w:color w:val="FFFFFF"/>
              </w:rPr>
              <w:t>Failure mode</w:t>
            </w:r>
          </w:p>
        </w:tc>
        <w:tc>
          <w:tcPr>
            <w:tcW w:type="dxa" w:w="3456"/>
            <w:vAlign w:val="center"/>
            <w:tcMar>
              <w:top w:w="70" w:type="dxa"/>
              <w:bottom w:w="70" w:type="dxa"/>
              <w:start w:w="80" w:type="dxa"/>
              <w:end w:w="80" w:type="dxa"/>
            </w:tcMar>
            <w:shd w:fill="17365D"/>
          </w:tcPr>
          <w:p>
            <w:pPr>
              <w:pStyle w:val="TableHeader"/>
            </w:pPr>
            <w:r/>
            <w:r>
              <w:rPr>
                <w:b/>
                <w:color w:val="FFFFFF"/>
              </w:rPr>
              <w:t>Potential harm</w:t>
            </w:r>
          </w:p>
        </w:tc>
        <w:tc>
          <w:tcPr>
            <w:tcW w:type="dxa" w:w="4392"/>
            <w:vAlign w:val="center"/>
            <w:tcMar>
              <w:top w:w="70" w:type="dxa"/>
              <w:bottom w:w="70" w:type="dxa"/>
              <w:start w:w="80" w:type="dxa"/>
              <w:end w:w="80" w:type="dxa"/>
            </w:tcMar>
            <w:shd w:fill="17365D"/>
          </w:tcPr>
          <w:p>
            <w:pPr>
              <w:pStyle w:val="TableHeader"/>
            </w:pPr>
            <w:r/>
            <w:r>
              <w:rPr>
                <w:b/>
                <w:color w:val="FFFFFF"/>
              </w:rPr>
              <w:t>Control</w:t>
            </w:r>
          </w:p>
        </w:tc>
      </w:tr>
      <w:tr>
        <w:trPr>
          <w:cantSplit/>
        </w:trPr>
        <w:tc>
          <w:tcPr>
            <w:tcW w:type="dxa" w:w="2880"/>
            <w:vAlign w:val="center"/>
            <w:tcMar>
              <w:top w:w="70" w:type="dxa"/>
              <w:bottom w:w="70" w:type="dxa"/>
              <w:start w:w="80" w:type="dxa"/>
              <w:end w:w="80" w:type="dxa"/>
            </w:tcMar>
          </w:tcPr>
          <w:p>
            <w:pPr>
              <w:pStyle w:val="TableText"/>
            </w:pPr>
            <w:r/>
            <w:r>
              <w:rPr>
                <w:b w:val="0"/>
              </w:rPr>
              <w:t>Early breech automatically treated as delivery abnormality</w:t>
            </w:r>
          </w:p>
        </w:tc>
        <w:tc>
          <w:tcPr>
            <w:tcW w:type="dxa" w:w="3456"/>
            <w:vAlign w:val="center"/>
            <w:tcMar>
              <w:top w:w="70" w:type="dxa"/>
              <w:bottom w:w="70" w:type="dxa"/>
              <w:start w:w="80" w:type="dxa"/>
              <w:end w:w="80" w:type="dxa"/>
            </w:tcMar>
          </w:tcPr>
          <w:p>
            <w:pPr>
              <w:pStyle w:val="TableText"/>
            </w:pPr>
            <w:r/>
            <w:r>
              <w:rPr>
                <w:b w:val="0"/>
              </w:rPr>
              <w:t>Over-referral and misleading counseling.</w:t>
            </w:r>
          </w:p>
        </w:tc>
        <w:tc>
          <w:tcPr>
            <w:tcW w:type="dxa" w:w="4392"/>
            <w:vAlign w:val="center"/>
            <w:tcMar>
              <w:top w:w="70" w:type="dxa"/>
              <w:bottom w:w="70" w:type="dxa"/>
              <w:start w:w="80" w:type="dxa"/>
              <w:end w:w="80" w:type="dxa"/>
            </w:tcMar>
          </w:tcPr>
          <w:p>
            <w:pPr>
              <w:pStyle w:val="TableText"/>
            </w:pPr>
            <w:r/>
            <w:r>
              <w:rPr>
                <w:b w:val="0"/>
              </w:rPr>
              <w:t>Display gestational age and explain that presentation may change.</w:t>
            </w:r>
          </w:p>
        </w:tc>
      </w:tr>
      <w:tr>
        <w:trPr>
          <w:cantSplit/>
        </w:trPr>
        <w:tc>
          <w:tcPr>
            <w:tcW w:type="dxa" w:w="2880"/>
            <w:vAlign w:val="center"/>
            <w:tcMar>
              <w:top w:w="70" w:type="dxa"/>
              <w:bottom w:w="70" w:type="dxa"/>
              <w:start w:w="80" w:type="dxa"/>
              <w:end w:w="80" w:type="dxa"/>
            </w:tcMar>
            <w:shd w:fill="EDF4FA"/>
          </w:tcPr>
          <w:p>
            <w:pPr>
              <w:pStyle w:val="TableText"/>
            </w:pPr>
            <w:r/>
            <w:r>
              <w:rPr>
                <w:b w:val="0"/>
              </w:rPr>
              <w:t>Fluid category without measurement</w:t>
            </w:r>
          </w:p>
        </w:tc>
        <w:tc>
          <w:tcPr>
            <w:tcW w:type="dxa" w:w="3456"/>
            <w:vAlign w:val="center"/>
            <w:tcMar>
              <w:top w:w="70" w:type="dxa"/>
              <w:bottom w:w="70" w:type="dxa"/>
              <w:start w:w="80" w:type="dxa"/>
              <w:end w:w="80" w:type="dxa"/>
            </w:tcMar>
            <w:shd w:fill="EDF4FA"/>
          </w:tcPr>
          <w:p>
            <w:pPr>
              <w:pStyle w:val="TableText"/>
            </w:pPr>
            <w:r/>
            <w:r>
              <w:rPr>
                <w:b w:val="0"/>
              </w:rPr>
              <w:t>Severity and method cannot be verified.</w:t>
            </w:r>
          </w:p>
        </w:tc>
        <w:tc>
          <w:tcPr>
            <w:tcW w:type="dxa" w:w="4392"/>
            <w:vAlign w:val="center"/>
            <w:tcMar>
              <w:top w:w="70" w:type="dxa"/>
              <w:bottom w:w="70" w:type="dxa"/>
              <w:start w:w="80" w:type="dxa"/>
              <w:end w:w="80" w:type="dxa"/>
            </w:tcMar>
            <w:shd w:fill="EDF4FA"/>
          </w:tcPr>
          <w:p>
            <w:pPr>
              <w:pStyle w:val="TableText"/>
            </w:pPr>
            <w:r/>
            <w:r>
              <w:rPr>
                <w:b w:val="0"/>
              </w:rPr>
              <w:t>Store AFI or deepest pocket, units, date, and report impression in future.</w:t>
            </w:r>
          </w:p>
        </w:tc>
      </w:tr>
      <w:tr>
        <w:trPr>
          <w:cantSplit/>
        </w:trPr>
        <w:tc>
          <w:tcPr>
            <w:tcW w:type="dxa" w:w="2880"/>
            <w:vAlign w:val="center"/>
            <w:tcMar>
              <w:top w:w="70" w:type="dxa"/>
              <w:bottom w:w="70" w:type="dxa"/>
              <w:start w:w="80" w:type="dxa"/>
              <w:end w:w="80" w:type="dxa"/>
            </w:tcMar>
          </w:tcPr>
          <w:p>
            <w:pPr>
              <w:pStyle w:val="TableText"/>
            </w:pPr>
            <w:r/>
            <w:r>
              <w:rPr>
                <w:b w:val="0"/>
              </w:rPr>
              <w:t>'Weak heartbeat' accepted as diagnosis</w:t>
            </w:r>
          </w:p>
        </w:tc>
        <w:tc>
          <w:tcPr>
            <w:tcW w:type="dxa" w:w="3456"/>
            <w:vAlign w:val="center"/>
            <w:tcMar>
              <w:top w:w="70" w:type="dxa"/>
              <w:bottom w:w="70" w:type="dxa"/>
              <w:start w:w="80" w:type="dxa"/>
              <w:end w:w="80" w:type="dxa"/>
            </w:tcMar>
          </w:tcPr>
          <w:p>
            <w:pPr>
              <w:pStyle w:val="TableText"/>
            </w:pPr>
            <w:r/>
            <w:r>
              <w:rPr>
                <w:b w:val="0"/>
              </w:rPr>
              <w:t>Subjective or poor-quality signal may be misrepresented.</w:t>
            </w:r>
          </w:p>
        </w:tc>
        <w:tc>
          <w:tcPr>
            <w:tcW w:type="dxa" w:w="4392"/>
            <w:vAlign w:val="center"/>
            <w:tcMar>
              <w:top w:w="70" w:type="dxa"/>
              <w:bottom w:w="70" w:type="dxa"/>
              <w:start w:w="80" w:type="dxa"/>
              <w:end w:w="80" w:type="dxa"/>
            </w:tcMar>
          </w:tcPr>
          <w:p>
            <w:pPr>
              <w:pStyle w:val="TableText"/>
            </w:pPr>
            <w:r/>
            <w:r>
              <w:rPr>
                <w:b w:val="0"/>
              </w:rPr>
              <w:t>Treat as warning; require verification.</w:t>
            </w:r>
          </w:p>
        </w:tc>
      </w:tr>
      <w:tr>
        <w:trPr>
          <w:cantSplit/>
        </w:trPr>
        <w:tc>
          <w:tcPr>
            <w:tcW w:type="dxa" w:w="2880"/>
            <w:vAlign w:val="center"/>
            <w:tcMar>
              <w:top w:w="70" w:type="dxa"/>
              <w:bottom w:w="70" w:type="dxa"/>
              <w:start w:w="80" w:type="dxa"/>
              <w:end w:w="80" w:type="dxa"/>
            </w:tcMar>
            <w:shd w:fill="EDF4FA"/>
          </w:tcPr>
          <w:p>
            <w:pPr>
              <w:pStyle w:val="TableText"/>
            </w:pPr>
            <w:r/>
            <w:r>
              <w:rPr>
                <w:b w:val="0"/>
              </w:rPr>
              <w:t>'Absent heartbeat' shown as confirmed loss</w:t>
            </w:r>
          </w:p>
        </w:tc>
        <w:tc>
          <w:tcPr>
            <w:tcW w:type="dxa" w:w="3456"/>
            <w:vAlign w:val="center"/>
            <w:tcMar>
              <w:top w:w="70" w:type="dxa"/>
              <w:bottom w:w="70" w:type="dxa"/>
              <w:start w:w="80" w:type="dxa"/>
              <w:end w:w="80" w:type="dxa"/>
            </w:tcMar>
            <w:shd w:fill="EDF4FA"/>
          </w:tcPr>
          <w:p>
            <w:pPr>
              <w:pStyle w:val="TableText"/>
            </w:pPr>
            <w:r/>
            <w:r>
              <w:rPr>
                <w:b w:val="0"/>
              </w:rPr>
              <w:t>Catastrophic false diagnosis in early pregnancy.</w:t>
            </w:r>
          </w:p>
        </w:tc>
        <w:tc>
          <w:tcPr>
            <w:tcW w:type="dxa" w:w="4392"/>
            <w:vAlign w:val="center"/>
            <w:tcMar>
              <w:top w:w="70" w:type="dxa"/>
              <w:bottom w:w="70" w:type="dxa"/>
              <w:start w:w="80" w:type="dxa"/>
              <w:end w:w="80" w:type="dxa"/>
            </w:tcMar>
            <w:shd w:fill="EDF4FA"/>
          </w:tcPr>
          <w:p>
            <w:pPr>
              <w:pStyle w:val="TableText"/>
            </w:pPr>
            <w:r/>
            <w:r>
              <w:rPr>
                <w:b w:val="0"/>
              </w:rPr>
              <w:t>Use NICE confirmation safeguards and authorized diagnosis field.</w:t>
            </w:r>
          </w:p>
        </w:tc>
      </w:tr>
      <w:tr>
        <w:trPr>
          <w:cantSplit/>
        </w:trPr>
        <w:tc>
          <w:tcPr>
            <w:tcW w:type="dxa" w:w="2880"/>
            <w:vAlign w:val="center"/>
            <w:tcMar>
              <w:top w:w="70" w:type="dxa"/>
              <w:bottom w:w="70" w:type="dxa"/>
              <w:start w:w="80" w:type="dxa"/>
              <w:end w:w="80" w:type="dxa"/>
            </w:tcMar>
          </w:tcPr>
          <w:p>
            <w:pPr>
              <w:pStyle w:val="TableText"/>
            </w:pPr>
            <w:r/>
            <w:r>
              <w:rPr>
                <w:b w:val="0"/>
              </w:rPr>
              <w:t>Manual transcription error</w:t>
            </w:r>
          </w:p>
        </w:tc>
        <w:tc>
          <w:tcPr>
            <w:tcW w:type="dxa" w:w="3456"/>
            <w:vAlign w:val="center"/>
            <w:tcMar>
              <w:top w:w="70" w:type="dxa"/>
              <w:bottom w:w="70" w:type="dxa"/>
              <w:start w:w="80" w:type="dxa"/>
              <w:end w:w="80" w:type="dxa"/>
            </w:tcMar>
          </w:tcPr>
          <w:p>
            <w:pPr>
              <w:pStyle w:val="TableText"/>
            </w:pPr>
            <w:r/>
            <w:r>
              <w:rPr>
                <w:b w:val="0"/>
              </w:rPr>
              <w:t>Wrong HIGH factor or false reassurance.</w:t>
            </w:r>
          </w:p>
        </w:tc>
        <w:tc>
          <w:tcPr>
            <w:tcW w:type="dxa" w:w="4392"/>
            <w:vAlign w:val="center"/>
            <w:tcMar>
              <w:top w:w="70" w:type="dxa"/>
              <w:bottom w:w="70" w:type="dxa"/>
              <w:start w:w="80" w:type="dxa"/>
              <w:end w:w="80" w:type="dxa"/>
            </w:tcMar>
          </w:tcPr>
          <w:p>
            <w:pPr>
              <w:pStyle w:val="TableText"/>
            </w:pPr>
            <w:r/>
            <w:r>
              <w:rPr>
                <w:b w:val="0"/>
              </w:rPr>
              <w:t>Attach/source report, audit edits, and allow verification.</w:t>
            </w:r>
          </w:p>
        </w:tc>
      </w:tr>
      <w:tr>
        <w:trPr>
          <w:cantSplit/>
        </w:trPr>
        <w:tc>
          <w:tcPr>
            <w:tcW w:type="dxa" w:w="2880"/>
            <w:vAlign w:val="center"/>
            <w:tcMar>
              <w:top w:w="70" w:type="dxa"/>
              <w:bottom w:w="70" w:type="dxa"/>
              <w:start w:w="80" w:type="dxa"/>
              <w:end w:w="80" w:type="dxa"/>
            </w:tcMar>
            <w:shd w:fill="EDF4FA"/>
          </w:tcPr>
          <w:p>
            <w:pPr>
              <w:pStyle w:val="TableText"/>
            </w:pPr>
            <w:r/>
            <w:r>
              <w:rPr>
                <w:b w:val="0"/>
              </w:rPr>
              <w:t>Old ultrasound reused</w:t>
            </w:r>
          </w:p>
        </w:tc>
        <w:tc>
          <w:tcPr>
            <w:tcW w:type="dxa" w:w="3456"/>
            <w:vAlign w:val="center"/>
            <w:tcMar>
              <w:top w:w="70" w:type="dxa"/>
              <w:bottom w:w="70" w:type="dxa"/>
              <w:start w:w="80" w:type="dxa"/>
              <w:end w:w="80" w:type="dxa"/>
            </w:tcMar>
            <w:shd w:fill="EDF4FA"/>
          </w:tcPr>
          <w:p>
            <w:pPr>
              <w:pStyle w:val="TableText"/>
            </w:pPr>
            <w:r/>
            <w:r>
              <w:rPr>
                <w:b w:val="0"/>
              </w:rPr>
              <w:t>Current presentation/fluid may differ.</w:t>
            </w:r>
          </w:p>
        </w:tc>
        <w:tc>
          <w:tcPr>
            <w:tcW w:type="dxa" w:w="4392"/>
            <w:vAlign w:val="center"/>
            <w:tcMar>
              <w:top w:w="70" w:type="dxa"/>
              <w:bottom w:w="70" w:type="dxa"/>
              <w:start w:w="80" w:type="dxa"/>
              <w:end w:w="80" w:type="dxa"/>
            </w:tcMar>
            <w:shd w:fill="EDF4FA"/>
          </w:tcPr>
          <w:p>
            <w:pPr>
              <w:pStyle w:val="TableText"/>
            </w:pPr>
            <w:r/>
            <w:r>
              <w:rPr>
                <w:b w:val="0"/>
              </w:rPr>
              <w:t>Display date prominently and define recency policy.</w:t>
            </w:r>
          </w:p>
        </w:tc>
      </w:tr>
      <w:tr>
        <w:trPr>
          <w:cantSplit/>
        </w:trPr>
        <w:tc>
          <w:tcPr>
            <w:tcW w:type="dxa" w:w="2880"/>
            <w:vAlign w:val="center"/>
            <w:tcMar>
              <w:top w:w="70" w:type="dxa"/>
              <w:bottom w:w="70" w:type="dxa"/>
              <w:start w:w="80" w:type="dxa"/>
              <w:end w:w="80" w:type="dxa"/>
            </w:tcMar>
          </w:tcPr>
          <w:p>
            <w:pPr>
              <w:pStyle w:val="TableText"/>
            </w:pPr>
            <w:r/>
            <w:r>
              <w:rPr>
                <w:b w:val="0"/>
              </w:rPr>
              <w:t>ML returns LOW</w:t>
            </w:r>
          </w:p>
        </w:tc>
        <w:tc>
          <w:tcPr>
            <w:tcW w:type="dxa" w:w="3456"/>
            <w:vAlign w:val="center"/>
            <w:tcMar>
              <w:top w:w="70" w:type="dxa"/>
              <w:bottom w:w="70" w:type="dxa"/>
              <w:start w:w="80" w:type="dxa"/>
              <w:end w:w="80" w:type="dxa"/>
            </w:tcMar>
          </w:tcPr>
          <w:p>
            <w:pPr>
              <w:pStyle w:val="TableText"/>
            </w:pPr>
            <w:r/>
            <w:r>
              <w:rPr>
                <w:b w:val="0"/>
              </w:rPr>
              <w:t>Abnormal ultrasound may be masked.</w:t>
            </w:r>
          </w:p>
        </w:tc>
        <w:tc>
          <w:tcPr>
            <w:tcW w:type="dxa" w:w="4392"/>
            <w:vAlign w:val="center"/>
            <w:tcMar>
              <w:top w:w="70" w:type="dxa"/>
              <w:bottom w:w="70" w:type="dxa"/>
              <w:start w:w="80" w:type="dxa"/>
              <w:end w:w="80" w:type="dxa"/>
            </w:tcMar>
          </w:tcPr>
          <w:p>
            <w:pPr>
              <w:pStyle w:val="TableText"/>
            </w:pPr>
            <w:r/>
            <w:r>
              <w:rPr>
                <w:b w:val="0"/>
              </w:rPr>
              <w:t>Deterministic rules override ML.</w:t>
            </w:r>
          </w:p>
        </w:tc>
      </w:tr>
      <w:tr>
        <w:trPr>
          <w:cantSplit/>
        </w:trPr>
        <w:tc>
          <w:tcPr>
            <w:tcW w:type="dxa" w:w="2880"/>
            <w:vAlign w:val="center"/>
            <w:tcMar>
              <w:top w:w="70" w:type="dxa"/>
              <w:bottom w:w="70" w:type="dxa"/>
              <w:start w:w="80" w:type="dxa"/>
              <w:end w:w="80" w:type="dxa"/>
            </w:tcMar>
            <w:shd w:fill="EDF4FA"/>
          </w:tcPr>
          <w:p>
            <w:pPr>
              <w:pStyle w:val="TableText"/>
            </w:pPr>
            <w:r/>
            <w:r>
              <w:rPr>
                <w:b w:val="0"/>
              </w:rPr>
              <w:t>Referral pending</w:t>
            </w:r>
          </w:p>
        </w:tc>
        <w:tc>
          <w:tcPr>
            <w:tcW w:type="dxa" w:w="3456"/>
            <w:vAlign w:val="center"/>
            <w:tcMar>
              <w:top w:w="70" w:type="dxa"/>
              <w:bottom w:w="70" w:type="dxa"/>
              <w:start w:w="80" w:type="dxa"/>
              <w:end w:w="80" w:type="dxa"/>
            </w:tcMar>
            <w:shd w:fill="EDF4FA"/>
          </w:tcPr>
          <w:p>
            <w:pPr>
              <w:pStyle w:val="TableText"/>
            </w:pPr>
            <w:r/>
            <w:r>
              <w:rPr>
                <w:b w:val="0"/>
              </w:rPr>
              <w:t>Care gap hidden.</w:t>
            </w:r>
          </w:p>
        </w:tc>
        <w:tc>
          <w:tcPr>
            <w:tcW w:type="dxa" w:w="4392"/>
            <w:vAlign w:val="center"/>
            <w:tcMar>
              <w:top w:w="70" w:type="dxa"/>
              <w:bottom w:w="70" w:type="dxa"/>
              <w:start w:w="80" w:type="dxa"/>
              <w:end w:w="80" w:type="dxa"/>
            </w:tcMar>
            <w:shd w:fill="EDF4FA"/>
          </w:tcPr>
          <w:p>
            <w:pPr>
              <w:pStyle w:val="TableText"/>
            </w:pPr>
            <w:r/>
            <w:r>
              <w:rPr>
                <w:b w:val="0"/>
              </w:rPr>
              <w:t>Track referral status and unresolved action.</w:t>
            </w:r>
          </w:p>
        </w:tc>
      </w:tr>
      <w:tr>
        <w:trPr>
          <w:cantSplit/>
        </w:trPr>
        <w:tc>
          <w:tcPr>
            <w:tcW w:type="dxa" w:w="2880"/>
            <w:vAlign w:val="center"/>
            <w:tcMar>
              <w:top w:w="70" w:type="dxa"/>
              <w:bottom w:w="70" w:type="dxa"/>
              <w:start w:w="80" w:type="dxa"/>
              <w:end w:w="80" w:type="dxa"/>
            </w:tcMar>
          </w:tcPr>
          <w:p>
            <w:pPr>
              <w:pStyle w:val="TableText"/>
            </w:pPr>
            <w:r/>
            <w:r>
              <w:rPr>
                <w:b w:val="0"/>
              </w:rPr>
              <w:t>Emergency symptoms ignored</w:t>
            </w:r>
          </w:p>
        </w:tc>
        <w:tc>
          <w:tcPr>
            <w:tcW w:type="dxa" w:w="3456"/>
            <w:vAlign w:val="center"/>
            <w:tcMar>
              <w:top w:w="70" w:type="dxa"/>
              <w:bottom w:w="70" w:type="dxa"/>
              <w:start w:w="80" w:type="dxa"/>
              <w:end w:w="80" w:type="dxa"/>
            </w:tcMar>
          </w:tcPr>
          <w:p>
            <w:pPr>
              <w:pStyle w:val="TableText"/>
            </w:pPr>
            <w:r/>
            <w:r>
              <w:rPr>
                <w:b w:val="0"/>
              </w:rPr>
              <w:t>Routine workflow delays urgent care.</w:t>
            </w:r>
          </w:p>
        </w:tc>
        <w:tc>
          <w:tcPr>
            <w:tcW w:type="dxa" w:w="4392"/>
            <w:vAlign w:val="center"/>
            <w:tcMar>
              <w:top w:w="70" w:type="dxa"/>
              <w:bottom w:w="70" w:type="dxa"/>
              <w:start w:w="80" w:type="dxa"/>
              <w:end w:w="80" w:type="dxa"/>
            </w:tcMar>
          </w:tcPr>
          <w:p>
            <w:pPr>
              <w:pStyle w:val="TableText"/>
            </w:pPr>
            <w:r/>
            <w:r>
              <w:rPr>
                <w:b w:val="0"/>
              </w:rPr>
              <w:t>Separate emergency triage from historical assessment.</w:t>
            </w:r>
          </w:p>
        </w:tc>
      </w:tr>
      <w:tr>
        <w:trPr>
          <w:cantSplit/>
        </w:trPr>
        <w:tc>
          <w:tcPr>
            <w:tcW w:type="dxa" w:w="2880"/>
            <w:vAlign w:val="center"/>
            <w:tcMar>
              <w:top w:w="70" w:type="dxa"/>
              <w:bottom w:w="70" w:type="dxa"/>
              <w:start w:w="80" w:type="dxa"/>
              <w:end w:w="80" w:type="dxa"/>
            </w:tcMar>
            <w:shd w:fill="EDF4FA"/>
          </w:tcPr>
          <w:p>
            <w:pPr>
              <w:pStyle w:val="TableText"/>
            </w:pPr>
            <w:r/>
            <w:r>
              <w:rPr>
                <w:b w:val="0"/>
              </w:rPr>
              <w:t>Ultrasound report missing</w:t>
            </w:r>
          </w:p>
        </w:tc>
        <w:tc>
          <w:tcPr>
            <w:tcW w:type="dxa" w:w="3456"/>
            <w:vAlign w:val="center"/>
            <w:tcMar>
              <w:top w:w="70" w:type="dxa"/>
              <w:bottom w:w="70" w:type="dxa"/>
              <w:start w:w="80" w:type="dxa"/>
              <w:end w:w="80" w:type="dxa"/>
            </w:tcMar>
            <w:shd w:fill="EDF4FA"/>
          </w:tcPr>
          <w:p>
            <w:pPr>
              <w:pStyle w:val="TableText"/>
            </w:pPr>
            <w:r/>
            <w:r>
              <w:rPr>
                <w:b w:val="0"/>
              </w:rPr>
              <w:t>Normality assumed.</w:t>
            </w:r>
          </w:p>
        </w:tc>
        <w:tc>
          <w:tcPr>
            <w:tcW w:type="dxa" w:w="4392"/>
            <w:vAlign w:val="center"/>
            <w:tcMar>
              <w:top w:w="70" w:type="dxa"/>
              <w:bottom w:w="70" w:type="dxa"/>
              <w:start w:w="80" w:type="dxa"/>
              <w:end w:w="80" w:type="dxa"/>
            </w:tcMar>
            <w:shd w:fill="EDF4FA"/>
          </w:tcPr>
          <w:p>
            <w:pPr>
              <w:pStyle w:val="TableText"/>
            </w:pPr>
            <w:r/>
            <w:r>
              <w:rPr>
                <w:b w:val="0"/>
              </w:rPr>
              <w:t>ASSESSMENT INCOMPLETE.</w:t>
            </w:r>
          </w:p>
        </w:tc>
      </w:tr>
    </w:tbl>
    <w:p>
      <w:pPr>
        <w:spacing w:after="20"/>
      </w:pPr>
    </w:p>
    <w:p>
      <w:pPr>
        <w:pStyle w:val="Heading1"/>
      </w:pPr>
      <w:r>
        <w:t>14. Validation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037"/>
            <w:vAlign w:val="center"/>
            <w:tcMar>
              <w:top w:w="70" w:type="dxa"/>
              <w:bottom w:w="70" w:type="dxa"/>
              <w:start w:w="80" w:type="dxa"/>
              <w:end w:w="80" w:type="dxa"/>
            </w:tcMar>
            <w:shd w:fill="17365D"/>
          </w:tcPr>
          <w:p>
            <w:pPr>
              <w:pStyle w:val="TableHeader"/>
            </w:pPr>
            <w:r/>
            <w:r>
              <w:rPr>
                <w:b/>
                <w:color w:val="FFFFFF"/>
              </w:rPr>
              <w:t>Test ID</w:t>
            </w:r>
          </w:p>
        </w:tc>
        <w:tc>
          <w:tcPr>
            <w:tcW w:type="dxa" w:w="3672"/>
            <w:vAlign w:val="center"/>
            <w:tcMar>
              <w:top w:w="70" w:type="dxa"/>
              <w:bottom w:w="70" w:type="dxa"/>
              <w:start w:w="80" w:type="dxa"/>
              <w:end w:w="80" w:type="dxa"/>
            </w:tcMar>
            <w:shd w:fill="17365D"/>
          </w:tcPr>
          <w:p>
            <w:pPr>
              <w:pStyle w:val="TableHeader"/>
            </w:pPr>
            <w:r/>
            <w:r>
              <w:rPr>
                <w:b/>
                <w:color w:val="FFFFFF"/>
              </w:rPr>
              <w:t>Scenario</w:t>
            </w:r>
          </w:p>
        </w:tc>
        <w:tc>
          <w:tcPr>
            <w:tcW w:type="dxa" w:w="2232"/>
            <w:vAlign w:val="center"/>
            <w:tcMar>
              <w:top w:w="70" w:type="dxa"/>
              <w:bottom w:w="70" w:type="dxa"/>
              <w:start w:w="80" w:type="dxa"/>
              <w:end w:w="80" w:type="dxa"/>
            </w:tcMar>
            <w:shd w:fill="17365D"/>
          </w:tcPr>
          <w:p>
            <w:pPr>
              <w:pStyle w:val="TableHeader"/>
            </w:pPr>
            <w:r/>
            <w:r>
              <w:rPr>
                <w:b/>
                <w:color w:val="FFFFFF"/>
              </w:rPr>
              <w:t>Expected output</w:t>
            </w:r>
          </w:p>
        </w:tc>
        <w:tc>
          <w:tcPr>
            <w:tcW w:type="dxa" w:w="3816"/>
            <w:vAlign w:val="center"/>
            <w:tcMar>
              <w:top w:w="70" w:type="dxa"/>
              <w:bottom w:w="70" w:type="dxa"/>
              <w:start w:w="80" w:type="dxa"/>
              <w:end w:w="80" w:type="dxa"/>
            </w:tcMar>
            <w:shd w:fill="17365D"/>
          </w:tcPr>
          <w:p>
            <w:pPr>
              <w:pStyle w:val="TableHeader"/>
            </w:pPr>
            <w:r/>
            <w:r>
              <w:rPr>
                <w:b/>
                <w:color w:val="FFFFFF"/>
              </w:rPr>
              <w:t>Control/explanation</w:t>
            </w:r>
          </w:p>
        </w:tc>
      </w:tr>
      <w:tr>
        <w:trPr>
          <w:cantSplit/>
        </w:trPr>
        <w:tc>
          <w:tcPr>
            <w:tcW w:type="dxa" w:w="1037"/>
            <w:vAlign w:val="center"/>
            <w:tcMar>
              <w:top w:w="70" w:type="dxa"/>
              <w:bottom w:w="70" w:type="dxa"/>
              <w:start w:w="80" w:type="dxa"/>
              <w:end w:w="80" w:type="dxa"/>
            </w:tcMar>
          </w:tcPr>
          <w:p>
            <w:pPr>
              <w:pStyle w:val="TableText"/>
            </w:pPr>
            <w:r/>
            <w:r>
              <w:rPr>
                <w:b w:val="0"/>
              </w:rPr>
              <w:t>US-T01</w:t>
            </w:r>
          </w:p>
        </w:tc>
        <w:tc>
          <w:tcPr>
            <w:tcW w:type="dxa" w:w="3672"/>
            <w:vAlign w:val="center"/>
            <w:tcMar>
              <w:top w:w="70" w:type="dxa"/>
              <w:bottom w:w="70" w:type="dxa"/>
              <w:start w:w="80" w:type="dxa"/>
              <w:end w:w="80" w:type="dxa"/>
            </w:tcMar>
          </w:tcPr>
          <w:p>
            <w:pPr>
              <w:pStyle w:val="TableText"/>
            </w:pPr>
            <w:r/>
            <w:r>
              <w:rPr>
                <w:b w:val="0"/>
              </w:rPr>
              <w:t>Breech; fluid normal; heartbeat normal; ML LOW.</w:t>
            </w:r>
          </w:p>
        </w:tc>
        <w:tc>
          <w:tcPr>
            <w:tcW w:type="dxa" w:w="2232"/>
            <w:vAlign w:val="center"/>
            <w:tcMar>
              <w:top w:w="70" w:type="dxa"/>
              <w:bottom w:w="70" w:type="dxa"/>
              <w:start w:w="80" w:type="dxa"/>
              <w:end w:w="80" w:type="dxa"/>
            </w:tcMar>
          </w:tcPr>
          <w:p>
            <w:pPr>
              <w:pStyle w:val="TableText"/>
            </w:pPr>
            <w:r/>
            <w:r>
              <w:rPr>
                <w:b w:val="0"/>
              </w:rPr>
              <w:t>HIGH</w:t>
            </w:r>
          </w:p>
        </w:tc>
        <w:tc>
          <w:tcPr>
            <w:tcW w:type="dxa" w:w="3816"/>
            <w:vAlign w:val="center"/>
            <w:tcMar>
              <w:top w:w="70" w:type="dxa"/>
              <w:bottom w:w="70" w:type="dxa"/>
              <w:start w:w="80" w:type="dxa"/>
              <w:end w:w="80" w:type="dxa"/>
            </w:tcMar>
          </w:tcPr>
          <w:p>
            <w:pPr>
              <w:pStyle w:val="TableText"/>
            </w:pPr>
            <w:r/>
            <w:r>
              <w:rPr>
                <w:b w:val="0"/>
              </w:rPr>
              <w:t>US-P01 shown.</w:t>
            </w:r>
          </w:p>
        </w:tc>
      </w:tr>
      <w:tr>
        <w:trPr>
          <w:cantSplit/>
        </w:trPr>
        <w:tc>
          <w:tcPr>
            <w:tcW w:type="dxa" w:w="1037"/>
            <w:vAlign w:val="center"/>
            <w:tcMar>
              <w:top w:w="70" w:type="dxa"/>
              <w:bottom w:w="70" w:type="dxa"/>
              <w:start w:w="80" w:type="dxa"/>
              <w:end w:w="80" w:type="dxa"/>
            </w:tcMar>
            <w:shd w:fill="EDF4FA"/>
          </w:tcPr>
          <w:p>
            <w:pPr>
              <w:pStyle w:val="TableText"/>
            </w:pPr>
            <w:r/>
            <w:r>
              <w:rPr>
                <w:b w:val="0"/>
              </w:rPr>
              <w:t>US-T02</w:t>
            </w:r>
          </w:p>
        </w:tc>
        <w:tc>
          <w:tcPr>
            <w:tcW w:type="dxa" w:w="3672"/>
            <w:vAlign w:val="center"/>
            <w:tcMar>
              <w:top w:w="70" w:type="dxa"/>
              <w:bottom w:w="70" w:type="dxa"/>
              <w:start w:w="80" w:type="dxa"/>
              <w:end w:w="80" w:type="dxa"/>
            </w:tcMar>
            <w:shd w:fill="EDF4FA"/>
          </w:tcPr>
          <w:p>
            <w:pPr>
              <w:pStyle w:val="TableText"/>
            </w:pPr>
            <w:r/>
            <w:r>
              <w:rPr>
                <w:b w:val="0"/>
              </w:rPr>
              <w:t>Transverse; ML LOW.</w:t>
            </w:r>
          </w:p>
        </w:tc>
        <w:tc>
          <w:tcPr>
            <w:tcW w:type="dxa" w:w="2232"/>
            <w:vAlign w:val="center"/>
            <w:tcMar>
              <w:top w:w="70" w:type="dxa"/>
              <w:bottom w:w="70" w:type="dxa"/>
              <w:start w:w="80" w:type="dxa"/>
              <w:end w:w="80" w:type="dxa"/>
            </w:tcMar>
            <w:shd w:fill="EDF4FA"/>
          </w:tcPr>
          <w:p>
            <w:pPr>
              <w:pStyle w:val="TableText"/>
            </w:pPr>
            <w:r/>
            <w:r>
              <w:rPr>
                <w:b w:val="0"/>
              </w:rPr>
              <w:t>HIGH</w:t>
            </w:r>
          </w:p>
        </w:tc>
        <w:tc>
          <w:tcPr>
            <w:tcW w:type="dxa" w:w="3816"/>
            <w:vAlign w:val="center"/>
            <w:tcMar>
              <w:top w:w="70" w:type="dxa"/>
              <w:bottom w:w="70" w:type="dxa"/>
              <w:start w:w="80" w:type="dxa"/>
              <w:end w:w="80" w:type="dxa"/>
            </w:tcMar>
            <w:shd w:fill="EDF4FA"/>
          </w:tcPr>
          <w:p>
            <w:pPr>
              <w:pStyle w:val="TableText"/>
            </w:pPr>
            <w:r/>
            <w:r>
              <w:rPr>
                <w:b w:val="0"/>
              </w:rPr>
              <w:t>Hospital planning reason.</w:t>
            </w:r>
          </w:p>
        </w:tc>
      </w:tr>
      <w:tr>
        <w:trPr>
          <w:cantSplit/>
        </w:trPr>
        <w:tc>
          <w:tcPr>
            <w:tcW w:type="dxa" w:w="1037"/>
            <w:vAlign w:val="center"/>
            <w:tcMar>
              <w:top w:w="70" w:type="dxa"/>
              <w:bottom w:w="70" w:type="dxa"/>
              <w:start w:w="80" w:type="dxa"/>
              <w:end w:w="80" w:type="dxa"/>
            </w:tcMar>
          </w:tcPr>
          <w:p>
            <w:pPr>
              <w:pStyle w:val="TableText"/>
            </w:pPr>
            <w:r/>
            <w:r>
              <w:rPr>
                <w:b w:val="0"/>
              </w:rPr>
              <w:t>US-T03</w:t>
            </w:r>
          </w:p>
        </w:tc>
        <w:tc>
          <w:tcPr>
            <w:tcW w:type="dxa" w:w="3672"/>
            <w:vAlign w:val="center"/>
            <w:tcMar>
              <w:top w:w="70" w:type="dxa"/>
              <w:bottom w:w="70" w:type="dxa"/>
              <w:start w:w="80" w:type="dxa"/>
              <w:end w:w="80" w:type="dxa"/>
            </w:tcMar>
          </w:tcPr>
          <w:p>
            <w:pPr>
              <w:pStyle w:val="TableText"/>
            </w:pPr>
            <w:r/>
            <w:r>
              <w:rPr>
                <w:b w:val="0"/>
              </w:rPr>
              <w:t>Oblique; ML LOW.</w:t>
            </w:r>
          </w:p>
        </w:tc>
        <w:tc>
          <w:tcPr>
            <w:tcW w:type="dxa" w:w="2232"/>
            <w:vAlign w:val="center"/>
            <w:tcMar>
              <w:top w:w="70" w:type="dxa"/>
              <w:bottom w:w="70" w:type="dxa"/>
              <w:start w:w="80" w:type="dxa"/>
              <w:end w:w="80" w:type="dxa"/>
            </w:tcMar>
          </w:tcPr>
          <w:p>
            <w:pPr>
              <w:pStyle w:val="TableText"/>
            </w:pPr>
            <w:r/>
            <w:r>
              <w:rPr>
                <w:b w:val="0"/>
              </w:rPr>
              <w:t>HIGH</w:t>
            </w:r>
          </w:p>
        </w:tc>
        <w:tc>
          <w:tcPr>
            <w:tcW w:type="dxa" w:w="3816"/>
            <w:vAlign w:val="center"/>
            <w:tcMar>
              <w:top w:w="70" w:type="dxa"/>
              <w:bottom w:w="70" w:type="dxa"/>
              <w:start w:w="80" w:type="dxa"/>
              <w:end w:w="80" w:type="dxa"/>
            </w:tcMar>
          </w:tcPr>
          <w:p>
            <w:pPr>
              <w:pStyle w:val="TableText"/>
            </w:pPr>
            <w:r/>
            <w:r>
              <w:rPr>
                <w:b w:val="0"/>
              </w:rPr>
              <w:t>US-P01 shown.</w:t>
            </w:r>
          </w:p>
        </w:tc>
      </w:tr>
      <w:tr>
        <w:trPr>
          <w:cantSplit/>
        </w:trPr>
        <w:tc>
          <w:tcPr>
            <w:tcW w:type="dxa" w:w="1037"/>
            <w:vAlign w:val="center"/>
            <w:tcMar>
              <w:top w:w="70" w:type="dxa"/>
              <w:bottom w:w="70" w:type="dxa"/>
              <w:start w:w="80" w:type="dxa"/>
              <w:end w:w="80" w:type="dxa"/>
            </w:tcMar>
            <w:shd w:fill="EDF4FA"/>
          </w:tcPr>
          <w:p>
            <w:pPr>
              <w:pStyle w:val="TableText"/>
            </w:pPr>
            <w:r/>
            <w:r>
              <w:rPr>
                <w:b w:val="0"/>
              </w:rPr>
              <w:t>US-T04</w:t>
            </w:r>
          </w:p>
        </w:tc>
        <w:tc>
          <w:tcPr>
            <w:tcW w:type="dxa" w:w="3672"/>
            <w:vAlign w:val="center"/>
            <w:tcMar>
              <w:top w:w="70" w:type="dxa"/>
              <w:bottom w:w="70" w:type="dxa"/>
              <w:start w:w="80" w:type="dxa"/>
              <w:end w:w="80" w:type="dxa"/>
            </w:tcMar>
            <w:shd w:fill="EDF4FA"/>
          </w:tcPr>
          <w:p>
            <w:pPr>
              <w:pStyle w:val="TableText"/>
            </w:pPr>
            <w:r/>
            <w:r>
              <w:rPr>
                <w:b w:val="0"/>
              </w:rPr>
              <w:t>Cephalic; low fluid; ML LOW.</w:t>
            </w:r>
          </w:p>
        </w:tc>
        <w:tc>
          <w:tcPr>
            <w:tcW w:type="dxa" w:w="2232"/>
            <w:vAlign w:val="center"/>
            <w:tcMar>
              <w:top w:w="70" w:type="dxa"/>
              <w:bottom w:w="70" w:type="dxa"/>
              <w:start w:w="80" w:type="dxa"/>
              <w:end w:w="80" w:type="dxa"/>
            </w:tcMar>
            <w:shd w:fill="EDF4FA"/>
          </w:tcPr>
          <w:p>
            <w:pPr>
              <w:pStyle w:val="TableText"/>
            </w:pPr>
            <w:r/>
            <w:r>
              <w:rPr>
                <w:b w:val="0"/>
              </w:rPr>
              <w:t>HIGH</w:t>
            </w:r>
          </w:p>
        </w:tc>
        <w:tc>
          <w:tcPr>
            <w:tcW w:type="dxa" w:w="3816"/>
            <w:vAlign w:val="center"/>
            <w:tcMar>
              <w:top w:w="70" w:type="dxa"/>
              <w:bottom w:w="70" w:type="dxa"/>
              <w:start w:w="80" w:type="dxa"/>
              <w:end w:w="80" w:type="dxa"/>
            </w:tcMar>
            <w:shd w:fill="EDF4FA"/>
          </w:tcPr>
          <w:p>
            <w:pPr>
              <w:pStyle w:val="TableText"/>
            </w:pPr>
            <w:r/>
            <w:r>
              <w:rPr>
                <w:b w:val="0"/>
              </w:rPr>
              <w:t>US-AF01 shown.</w:t>
            </w:r>
          </w:p>
        </w:tc>
      </w:tr>
      <w:tr>
        <w:trPr>
          <w:cantSplit/>
        </w:trPr>
        <w:tc>
          <w:tcPr>
            <w:tcW w:type="dxa" w:w="1037"/>
            <w:vAlign w:val="center"/>
            <w:tcMar>
              <w:top w:w="70" w:type="dxa"/>
              <w:bottom w:w="70" w:type="dxa"/>
              <w:start w:w="80" w:type="dxa"/>
              <w:end w:w="80" w:type="dxa"/>
            </w:tcMar>
          </w:tcPr>
          <w:p>
            <w:pPr>
              <w:pStyle w:val="TableText"/>
            </w:pPr>
            <w:r/>
            <w:r>
              <w:rPr>
                <w:b w:val="0"/>
              </w:rPr>
              <w:t>US-T05</w:t>
            </w:r>
          </w:p>
        </w:tc>
        <w:tc>
          <w:tcPr>
            <w:tcW w:type="dxa" w:w="3672"/>
            <w:vAlign w:val="center"/>
            <w:tcMar>
              <w:top w:w="70" w:type="dxa"/>
              <w:bottom w:w="70" w:type="dxa"/>
              <w:start w:w="80" w:type="dxa"/>
              <w:end w:w="80" w:type="dxa"/>
            </w:tcMar>
          </w:tcPr>
          <w:p>
            <w:pPr>
              <w:pStyle w:val="TableText"/>
            </w:pPr>
            <w:r/>
            <w:r>
              <w:rPr>
                <w:b w:val="0"/>
              </w:rPr>
              <w:t>Cephalic; high fluid; ML LOW.</w:t>
            </w:r>
          </w:p>
        </w:tc>
        <w:tc>
          <w:tcPr>
            <w:tcW w:type="dxa" w:w="2232"/>
            <w:vAlign w:val="center"/>
            <w:tcMar>
              <w:top w:w="70" w:type="dxa"/>
              <w:bottom w:w="70" w:type="dxa"/>
              <w:start w:w="80" w:type="dxa"/>
              <w:end w:w="80" w:type="dxa"/>
            </w:tcMar>
          </w:tcPr>
          <w:p>
            <w:pPr>
              <w:pStyle w:val="TableText"/>
            </w:pPr>
            <w:r/>
            <w:r>
              <w:rPr>
                <w:b w:val="0"/>
              </w:rPr>
              <w:t>HIGH</w:t>
            </w:r>
          </w:p>
        </w:tc>
        <w:tc>
          <w:tcPr>
            <w:tcW w:type="dxa" w:w="3816"/>
            <w:vAlign w:val="center"/>
            <w:tcMar>
              <w:top w:w="70" w:type="dxa"/>
              <w:bottom w:w="70" w:type="dxa"/>
              <w:start w:w="80" w:type="dxa"/>
              <w:end w:w="80" w:type="dxa"/>
            </w:tcMar>
          </w:tcPr>
          <w:p>
            <w:pPr>
              <w:pStyle w:val="TableText"/>
            </w:pPr>
            <w:r/>
            <w:r>
              <w:rPr>
                <w:b w:val="0"/>
              </w:rPr>
              <w:t>US-AF01 shown.</w:t>
            </w:r>
          </w:p>
        </w:tc>
      </w:tr>
      <w:tr>
        <w:trPr>
          <w:cantSplit/>
        </w:trPr>
        <w:tc>
          <w:tcPr>
            <w:tcW w:type="dxa" w:w="1037"/>
            <w:vAlign w:val="center"/>
            <w:tcMar>
              <w:top w:w="70" w:type="dxa"/>
              <w:bottom w:w="70" w:type="dxa"/>
              <w:start w:w="80" w:type="dxa"/>
              <w:end w:w="80" w:type="dxa"/>
            </w:tcMar>
            <w:shd w:fill="EDF4FA"/>
          </w:tcPr>
          <w:p>
            <w:pPr>
              <w:pStyle w:val="TableText"/>
            </w:pPr>
            <w:r/>
            <w:r>
              <w:rPr>
                <w:b w:val="0"/>
              </w:rPr>
              <w:t>US-T06</w:t>
            </w:r>
          </w:p>
        </w:tc>
        <w:tc>
          <w:tcPr>
            <w:tcW w:type="dxa" w:w="3672"/>
            <w:vAlign w:val="center"/>
            <w:tcMar>
              <w:top w:w="70" w:type="dxa"/>
              <w:bottom w:w="70" w:type="dxa"/>
              <w:start w:w="80" w:type="dxa"/>
              <w:end w:w="80" w:type="dxa"/>
            </w:tcMar>
            <w:shd w:fill="EDF4FA"/>
          </w:tcPr>
          <w:p>
            <w:pPr>
              <w:pStyle w:val="TableText"/>
            </w:pPr>
            <w:r/>
            <w:r>
              <w:rPr>
                <w:b w:val="0"/>
              </w:rPr>
              <w:t>Cephalic; normal fluid; weak heartbeat.</w:t>
            </w:r>
          </w:p>
        </w:tc>
        <w:tc>
          <w:tcPr>
            <w:tcW w:type="dxa" w:w="2232"/>
            <w:vAlign w:val="center"/>
            <w:tcMar>
              <w:top w:w="70" w:type="dxa"/>
              <w:bottom w:w="70" w:type="dxa"/>
              <w:start w:w="80" w:type="dxa"/>
              <w:end w:w="80" w:type="dxa"/>
            </w:tcMar>
            <w:shd w:fill="EDF4FA"/>
          </w:tcPr>
          <w:p>
            <w:pPr>
              <w:pStyle w:val="TableText"/>
            </w:pPr>
            <w:r/>
            <w:r>
              <w:rPr>
                <w:b w:val="0"/>
              </w:rPr>
              <w:t>HIGH</w:t>
            </w:r>
          </w:p>
        </w:tc>
        <w:tc>
          <w:tcPr>
            <w:tcW w:type="dxa" w:w="3816"/>
            <w:vAlign w:val="center"/>
            <w:tcMar>
              <w:top w:w="70" w:type="dxa"/>
              <w:bottom w:w="70" w:type="dxa"/>
              <w:start w:w="80" w:type="dxa"/>
              <w:end w:w="80" w:type="dxa"/>
            </w:tcMar>
            <w:shd w:fill="EDF4FA"/>
          </w:tcPr>
          <w:p>
            <w:pPr>
              <w:pStyle w:val="TableText"/>
            </w:pPr>
            <w:r/>
            <w:r>
              <w:rPr>
                <w:b w:val="0"/>
              </w:rPr>
              <w:t>Warning, not diagnosis.</w:t>
            </w:r>
          </w:p>
        </w:tc>
      </w:tr>
      <w:tr>
        <w:trPr>
          <w:cantSplit/>
        </w:trPr>
        <w:tc>
          <w:tcPr>
            <w:tcW w:type="dxa" w:w="1037"/>
            <w:vAlign w:val="center"/>
            <w:tcMar>
              <w:top w:w="70" w:type="dxa"/>
              <w:bottom w:w="70" w:type="dxa"/>
              <w:start w:w="80" w:type="dxa"/>
              <w:end w:w="80" w:type="dxa"/>
            </w:tcMar>
          </w:tcPr>
          <w:p>
            <w:pPr>
              <w:pStyle w:val="TableText"/>
            </w:pPr>
            <w:r/>
            <w:r>
              <w:rPr>
                <w:b w:val="0"/>
              </w:rPr>
              <w:t>US-T07</w:t>
            </w:r>
          </w:p>
        </w:tc>
        <w:tc>
          <w:tcPr>
            <w:tcW w:type="dxa" w:w="3672"/>
            <w:vAlign w:val="center"/>
            <w:tcMar>
              <w:top w:w="70" w:type="dxa"/>
              <w:bottom w:w="70" w:type="dxa"/>
              <w:start w:w="80" w:type="dxa"/>
              <w:end w:w="80" w:type="dxa"/>
            </w:tcMar>
          </w:tcPr>
          <w:p>
            <w:pPr>
              <w:pStyle w:val="TableText"/>
            </w:pPr>
            <w:r/>
            <w:r>
              <w:rPr>
                <w:b w:val="0"/>
              </w:rPr>
              <w:t>Cephalic; abnormal heartbeat.</w:t>
            </w:r>
          </w:p>
        </w:tc>
        <w:tc>
          <w:tcPr>
            <w:tcW w:type="dxa" w:w="2232"/>
            <w:vAlign w:val="center"/>
            <w:tcMar>
              <w:top w:w="70" w:type="dxa"/>
              <w:bottom w:w="70" w:type="dxa"/>
              <w:start w:w="80" w:type="dxa"/>
              <w:end w:w="80" w:type="dxa"/>
            </w:tcMar>
          </w:tcPr>
          <w:p>
            <w:pPr>
              <w:pStyle w:val="TableText"/>
            </w:pPr>
            <w:r/>
            <w:r>
              <w:rPr>
                <w:b w:val="0"/>
              </w:rPr>
              <w:t>HIGH</w:t>
            </w:r>
          </w:p>
        </w:tc>
        <w:tc>
          <w:tcPr>
            <w:tcW w:type="dxa" w:w="3816"/>
            <w:vAlign w:val="center"/>
            <w:tcMar>
              <w:top w:w="70" w:type="dxa"/>
              <w:bottom w:w="70" w:type="dxa"/>
              <w:start w:w="80" w:type="dxa"/>
              <w:end w:w="80" w:type="dxa"/>
            </w:tcMar>
          </w:tcPr>
          <w:p>
            <w:pPr>
              <w:pStyle w:val="TableText"/>
            </w:pPr>
            <w:r/>
            <w:r>
              <w:rPr>
                <w:b w:val="0"/>
              </w:rPr>
              <w:t>Prompt verification.</w:t>
            </w:r>
          </w:p>
        </w:tc>
      </w:tr>
      <w:tr>
        <w:trPr>
          <w:cantSplit/>
        </w:trPr>
        <w:tc>
          <w:tcPr>
            <w:tcW w:type="dxa" w:w="1037"/>
            <w:vAlign w:val="center"/>
            <w:tcMar>
              <w:top w:w="70" w:type="dxa"/>
              <w:bottom w:w="70" w:type="dxa"/>
              <w:start w:w="80" w:type="dxa"/>
              <w:end w:w="80" w:type="dxa"/>
            </w:tcMar>
            <w:shd w:fill="EDF4FA"/>
          </w:tcPr>
          <w:p>
            <w:pPr>
              <w:pStyle w:val="TableText"/>
            </w:pPr>
            <w:r/>
            <w:r>
              <w:rPr>
                <w:b w:val="0"/>
              </w:rPr>
              <w:t>US-T08</w:t>
            </w:r>
          </w:p>
        </w:tc>
        <w:tc>
          <w:tcPr>
            <w:tcW w:type="dxa" w:w="3672"/>
            <w:vAlign w:val="center"/>
            <w:tcMar>
              <w:top w:w="70" w:type="dxa"/>
              <w:bottom w:w="70" w:type="dxa"/>
              <w:start w:w="80" w:type="dxa"/>
              <w:end w:w="80" w:type="dxa"/>
            </w:tcMar>
            <w:shd w:fill="EDF4FA"/>
          </w:tcPr>
          <w:p>
            <w:pPr>
              <w:pStyle w:val="TableText"/>
            </w:pPr>
            <w:r/>
            <w:r>
              <w:rPr>
                <w:b w:val="0"/>
              </w:rPr>
              <w:t>Absent heartbeat in early scan.</w:t>
            </w:r>
          </w:p>
        </w:tc>
        <w:tc>
          <w:tcPr>
            <w:tcW w:type="dxa" w:w="2232"/>
            <w:vAlign w:val="center"/>
            <w:tcMar>
              <w:top w:w="70" w:type="dxa"/>
              <w:bottom w:w="70" w:type="dxa"/>
              <w:start w:w="80" w:type="dxa"/>
              <w:end w:w="80" w:type="dxa"/>
            </w:tcMar>
            <w:shd w:fill="EDF4FA"/>
          </w:tcPr>
          <w:p>
            <w:pPr>
              <w:pStyle w:val="TableText"/>
            </w:pPr>
            <w:r/>
            <w:r>
              <w:rPr>
                <w:b w:val="0"/>
              </w:rPr>
              <w:t>HIGH/urgent confirmation</w:t>
            </w:r>
          </w:p>
        </w:tc>
        <w:tc>
          <w:tcPr>
            <w:tcW w:type="dxa" w:w="3816"/>
            <w:vAlign w:val="center"/>
            <w:tcMar>
              <w:top w:w="70" w:type="dxa"/>
              <w:bottom w:w="70" w:type="dxa"/>
              <w:start w:w="80" w:type="dxa"/>
              <w:end w:w="80" w:type="dxa"/>
            </w:tcMar>
            <w:shd w:fill="EDF4FA"/>
          </w:tcPr>
          <w:p>
            <w:pPr>
              <w:pStyle w:val="TableText"/>
            </w:pPr>
            <w:r/>
            <w:r>
              <w:rPr>
                <w:b w:val="0"/>
              </w:rPr>
              <w:t>Never display confirmed miscarriage automatically.</w:t>
            </w:r>
          </w:p>
        </w:tc>
      </w:tr>
      <w:tr>
        <w:trPr>
          <w:cantSplit/>
        </w:trPr>
        <w:tc>
          <w:tcPr>
            <w:tcW w:type="dxa" w:w="1037"/>
            <w:vAlign w:val="center"/>
            <w:tcMar>
              <w:top w:w="70" w:type="dxa"/>
              <w:bottom w:w="70" w:type="dxa"/>
              <w:start w:w="80" w:type="dxa"/>
              <w:end w:w="80" w:type="dxa"/>
            </w:tcMar>
          </w:tcPr>
          <w:p>
            <w:pPr>
              <w:pStyle w:val="TableText"/>
            </w:pPr>
            <w:r/>
            <w:r>
              <w:rPr>
                <w:b w:val="0"/>
              </w:rPr>
              <w:t>US-T09</w:t>
            </w:r>
          </w:p>
        </w:tc>
        <w:tc>
          <w:tcPr>
            <w:tcW w:type="dxa" w:w="3672"/>
            <w:vAlign w:val="center"/>
            <w:tcMar>
              <w:top w:w="70" w:type="dxa"/>
              <w:bottom w:w="70" w:type="dxa"/>
              <w:start w:w="80" w:type="dxa"/>
              <w:end w:w="80" w:type="dxa"/>
            </w:tcMar>
          </w:tcPr>
          <w:p>
            <w:pPr>
              <w:pStyle w:val="TableText"/>
            </w:pPr>
            <w:r/>
            <w:r>
              <w:rPr>
                <w:b w:val="0"/>
              </w:rPr>
              <w:t>Breech + low fluid + abnormal heartbeat.</w:t>
            </w:r>
          </w:p>
        </w:tc>
        <w:tc>
          <w:tcPr>
            <w:tcW w:type="dxa" w:w="2232"/>
            <w:vAlign w:val="center"/>
            <w:tcMar>
              <w:top w:w="70" w:type="dxa"/>
              <w:bottom w:w="70" w:type="dxa"/>
              <w:start w:w="80" w:type="dxa"/>
              <w:end w:w="80" w:type="dxa"/>
            </w:tcMar>
          </w:tcPr>
          <w:p>
            <w:pPr>
              <w:pStyle w:val="TableText"/>
            </w:pPr>
            <w:r/>
            <w:r>
              <w:rPr>
                <w:b w:val="0"/>
              </w:rPr>
              <w:t>HIGH</w:t>
            </w:r>
          </w:p>
        </w:tc>
        <w:tc>
          <w:tcPr>
            <w:tcW w:type="dxa" w:w="3816"/>
            <w:vAlign w:val="center"/>
            <w:tcMar>
              <w:top w:w="70" w:type="dxa"/>
              <w:bottom w:w="70" w:type="dxa"/>
              <w:start w:w="80" w:type="dxa"/>
              <w:end w:w="80" w:type="dxa"/>
            </w:tcMar>
          </w:tcPr>
          <w:p>
            <w:pPr>
              <w:pStyle w:val="TableText"/>
            </w:pPr>
            <w:r/>
            <w:r>
              <w:rPr>
                <w:b w:val="0"/>
              </w:rPr>
              <w:t>Three distinct reasons, one final category.</w:t>
            </w:r>
          </w:p>
        </w:tc>
      </w:tr>
      <w:tr>
        <w:trPr>
          <w:cantSplit/>
        </w:trPr>
        <w:tc>
          <w:tcPr>
            <w:tcW w:type="dxa" w:w="1037"/>
            <w:vAlign w:val="center"/>
            <w:tcMar>
              <w:top w:w="70" w:type="dxa"/>
              <w:bottom w:w="70" w:type="dxa"/>
              <w:start w:w="80" w:type="dxa"/>
              <w:end w:w="80" w:type="dxa"/>
            </w:tcMar>
            <w:shd w:fill="EDF4FA"/>
          </w:tcPr>
          <w:p>
            <w:pPr>
              <w:pStyle w:val="TableText"/>
            </w:pPr>
            <w:r/>
            <w:r>
              <w:rPr>
                <w:b w:val="0"/>
              </w:rPr>
              <w:t>US-T10</w:t>
            </w:r>
          </w:p>
        </w:tc>
        <w:tc>
          <w:tcPr>
            <w:tcW w:type="dxa" w:w="3672"/>
            <w:vAlign w:val="center"/>
            <w:tcMar>
              <w:top w:w="70" w:type="dxa"/>
              <w:bottom w:w="70" w:type="dxa"/>
              <w:start w:w="80" w:type="dxa"/>
              <w:end w:w="80" w:type="dxa"/>
            </w:tcMar>
            <w:shd w:fill="EDF4FA"/>
          </w:tcPr>
          <w:p>
            <w:pPr>
              <w:pStyle w:val="TableText"/>
            </w:pPr>
            <w:r/>
            <w:r>
              <w:rPr>
                <w:b w:val="0"/>
              </w:rPr>
              <w:t>All normal; ML LOW; all records complete.</w:t>
            </w:r>
          </w:p>
        </w:tc>
        <w:tc>
          <w:tcPr>
            <w:tcW w:type="dxa" w:w="2232"/>
            <w:vAlign w:val="center"/>
            <w:tcMar>
              <w:top w:w="70" w:type="dxa"/>
              <w:bottom w:w="70" w:type="dxa"/>
              <w:start w:w="80" w:type="dxa"/>
              <w:end w:w="80" w:type="dxa"/>
            </w:tcMar>
            <w:shd w:fill="EDF4FA"/>
          </w:tcPr>
          <w:p>
            <w:pPr>
              <w:pStyle w:val="TableText"/>
            </w:pPr>
            <w:r/>
            <w:r>
              <w:rPr>
                <w:b w:val="0"/>
              </w:rPr>
              <w:t>LOW</w:t>
            </w:r>
          </w:p>
        </w:tc>
        <w:tc>
          <w:tcPr>
            <w:tcW w:type="dxa" w:w="3816"/>
            <w:vAlign w:val="center"/>
            <w:tcMar>
              <w:top w:w="70" w:type="dxa"/>
              <w:bottom w:w="70" w:type="dxa"/>
              <w:start w:w="80" w:type="dxa"/>
              <w:end w:w="80" w:type="dxa"/>
            </w:tcMar>
            <w:shd w:fill="EDF4FA"/>
          </w:tcPr>
          <w:p>
            <w:pPr>
              <w:pStyle w:val="TableText"/>
            </w:pPr>
            <w:r/>
            <w:r>
              <w:rPr>
                <w:b w:val="0"/>
              </w:rPr>
              <w:t>No ultrasound reason.</w:t>
            </w:r>
          </w:p>
        </w:tc>
      </w:tr>
      <w:tr>
        <w:trPr>
          <w:cantSplit/>
        </w:trPr>
        <w:tc>
          <w:tcPr>
            <w:tcW w:type="dxa" w:w="1037"/>
            <w:vAlign w:val="center"/>
            <w:tcMar>
              <w:top w:w="70" w:type="dxa"/>
              <w:bottom w:w="70" w:type="dxa"/>
              <w:start w:w="80" w:type="dxa"/>
              <w:end w:w="80" w:type="dxa"/>
            </w:tcMar>
          </w:tcPr>
          <w:p>
            <w:pPr>
              <w:pStyle w:val="TableText"/>
            </w:pPr>
            <w:r/>
            <w:r>
              <w:rPr>
                <w:b w:val="0"/>
              </w:rPr>
              <w:t>US-T11</w:t>
            </w:r>
          </w:p>
        </w:tc>
        <w:tc>
          <w:tcPr>
            <w:tcW w:type="dxa" w:w="3672"/>
            <w:vAlign w:val="center"/>
            <w:tcMar>
              <w:top w:w="70" w:type="dxa"/>
              <w:bottom w:w="70" w:type="dxa"/>
              <w:start w:w="80" w:type="dxa"/>
              <w:end w:w="80" w:type="dxa"/>
            </w:tcMar>
          </w:tcPr>
          <w:p>
            <w:pPr>
              <w:pStyle w:val="TableText"/>
            </w:pPr>
            <w:r/>
            <w:r>
              <w:rPr>
                <w:b w:val="0"/>
              </w:rPr>
              <w:t>Presentation blank.</w:t>
            </w:r>
          </w:p>
        </w:tc>
        <w:tc>
          <w:tcPr>
            <w:tcW w:type="dxa" w:w="2232"/>
            <w:vAlign w:val="center"/>
            <w:tcMar>
              <w:top w:w="70" w:type="dxa"/>
              <w:bottom w:w="70" w:type="dxa"/>
              <w:start w:w="80" w:type="dxa"/>
              <w:end w:w="80" w:type="dxa"/>
            </w:tcMar>
          </w:tcPr>
          <w:p>
            <w:pPr>
              <w:pStyle w:val="TableText"/>
            </w:pPr>
            <w:r/>
            <w:r>
              <w:rPr>
                <w:b w:val="0"/>
              </w:rPr>
              <w:t>ASSESSMENT INCOMPLETE</w:t>
            </w:r>
          </w:p>
        </w:tc>
        <w:tc>
          <w:tcPr>
            <w:tcW w:type="dxa" w:w="3816"/>
            <w:vAlign w:val="center"/>
            <w:tcMar>
              <w:top w:w="70" w:type="dxa"/>
              <w:bottom w:w="70" w:type="dxa"/>
              <w:start w:w="80" w:type="dxa"/>
              <w:end w:w="80" w:type="dxa"/>
            </w:tcMar>
          </w:tcPr>
          <w:p>
            <w:pPr>
              <w:pStyle w:val="TableText"/>
            </w:pPr>
            <w:r/>
            <w:r>
              <w:rPr>
                <w:b w:val="0"/>
              </w:rPr>
              <w:t>Do not default cephalic.</w:t>
            </w:r>
          </w:p>
        </w:tc>
      </w:tr>
      <w:tr>
        <w:trPr>
          <w:cantSplit/>
        </w:trPr>
        <w:tc>
          <w:tcPr>
            <w:tcW w:type="dxa" w:w="1037"/>
            <w:vAlign w:val="center"/>
            <w:tcMar>
              <w:top w:w="70" w:type="dxa"/>
              <w:bottom w:w="70" w:type="dxa"/>
              <w:start w:w="80" w:type="dxa"/>
              <w:end w:w="80" w:type="dxa"/>
            </w:tcMar>
            <w:shd w:fill="EDF4FA"/>
          </w:tcPr>
          <w:p>
            <w:pPr>
              <w:pStyle w:val="TableText"/>
            </w:pPr>
            <w:r/>
            <w:r>
              <w:rPr>
                <w:b w:val="0"/>
              </w:rPr>
              <w:t>US-T12</w:t>
            </w:r>
          </w:p>
        </w:tc>
        <w:tc>
          <w:tcPr>
            <w:tcW w:type="dxa" w:w="3672"/>
            <w:vAlign w:val="center"/>
            <w:tcMar>
              <w:top w:w="70" w:type="dxa"/>
              <w:bottom w:w="70" w:type="dxa"/>
              <w:start w:w="80" w:type="dxa"/>
              <w:end w:w="80" w:type="dxa"/>
            </w:tcMar>
            <w:shd w:fill="EDF4FA"/>
          </w:tcPr>
          <w:p>
            <w:pPr>
              <w:pStyle w:val="TableText"/>
            </w:pPr>
            <w:r/>
            <w:r>
              <w:rPr>
                <w:b w:val="0"/>
              </w:rPr>
              <w:t>Fluid unknown.</w:t>
            </w:r>
          </w:p>
        </w:tc>
        <w:tc>
          <w:tcPr>
            <w:tcW w:type="dxa" w:w="2232"/>
            <w:vAlign w:val="center"/>
            <w:tcMar>
              <w:top w:w="70" w:type="dxa"/>
              <w:bottom w:w="70" w:type="dxa"/>
              <w:start w:w="80" w:type="dxa"/>
              <w:end w:w="80" w:type="dxa"/>
            </w:tcMar>
            <w:shd w:fill="EDF4FA"/>
          </w:tcPr>
          <w:p>
            <w:pPr>
              <w:pStyle w:val="TableText"/>
            </w:pPr>
            <w:r/>
            <w:r>
              <w:rPr>
                <w:b w:val="0"/>
              </w:rPr>
              <w:t>ASSESSMENT INCOMPLETE</w:t>
            </w:r>
          </w:p>
        </w:tc>
        <w:tc>
          <w:tcPr>
            <w:tcW w:type="dxa" w:w="3816"/>
            <w:vAlign w:val="center"/>
            <w:tcMar>
              <w:top w:w="70" w:type="dxa"/>
              <w:bottom w:w="70" w:type="dxa"/>
              <w:start w:w="80" w:type="dxa"/>
              <w:end w:w="80" w:type="dxa"/>
            </w:tcMar>
            <w:shd w:fill="EDF4FA"/>
          </w:tcPr>
          <w:p>
            <w:pPr>
              <w:pStyle w:val="TableText"/>
            </w:pPr>
            <w:r/>
            <w:r>
              <w:rPr>
                <w:b w:val="0"/>
              </w:rPr>
              <w:t>Do not default normal.</w:t>
            </w:r>
          </w:p>
        </w:tc>
      </w:tr>
      <w:tr>
        <w:trPr>
          <w:cantSplit/>
        </w:trPr>
        <w:tc>
          <w:tcPr>
            <w:tcW w:type="dxa" w:w="1037"/>
            <w:vAlign w:val="center"/>
            <w:tcMar>
              <w:top w:w="70" w:type="dxa"/>
              <w:bottom w:w="70" w:type="dxa"/>
              <w:start w:w="80" w:type="dxa"/>
              <w:end w:w="80" w:type="dxa"/>
            </w:tcMar>
          </w:tcPr>
          <w:p>
            <w:pPr>
              <w:pStyle w:val="TableText"/>
            </w:pPr>
            <w:r/>
            <w:r>
              <w:rPr>
                <w:b w:val="0"/>
              </w:rPr>
              <w:t>US-T13</w:t>
            </w:r>
          </w:p>
        </w:tc>
        <w:tc>
          <w:tcPr>
            <w:tcW w:type="dxa" w:w="3672"/>
            <w:vAlign w:val="center"/>
            <w:tcMar>
              <w:top w:w="70" w:type="dxa"/>
              <w:bottom w:w="70" w:type="dxa"/>
              <w:start w:w="80" w:type="dxa"/>
              <w:end w:w="80" w:type="dxa"/>
            </w:tcMar>
          </w:tcPr>
          <w:p>
            <w:pPr>
              <w:pStyle w:val="TableText"/>
            </w:pPr>
            <w:r/>
            <w:r>
              <w:rPr>
                <w:b w:val="0"/>
              </w:rPr>
              <w:t>Heartbeat blank.</w:t>
            </w:r>
          </w:p>
        </w:tc>
        <w:tc>
          <w:tcPr>
            <w:tcW w:type="dxa" w:w="2232"/>
            <w:vAlign w:val="center"/>
            <w:tcMar>
              <w:top w:w="70" w:type="dxa"/>
              <w:bottom w:w="70" w:type="dxa"/>
              <w:start w:w="80" w:type="dxa"/>
              <w:end w:w="80" w:type="dxa"/>
            </w:tcMar>
          </w:tcPr>
          <w:p>
            <w:pPr>
              <w:pStyle w:val="TableText"/>
            </w:pPr>
            <w:r/>
            <w:r>
              <w:rPr>
                <w:b w:val="0"/>
              </w:rPr>
              <w:t>ASSESSMENT INCOMPLETE</w:t>
            </w:r>
          </w:p>
        </w:tc>
        <w:tc>
          <w:tcPr>
            <w:tcW w:type="dxa" w:w="3816"/>
            <w:vAlign w:val="center"/>
            <w:tcMar>
              <w:top w:w="70" w:type="dxa"/>
              <w:bottom w:w="70" w:type="dxa"/>
              <w:start w:w="80" w:type="dxa"/>
              <w:end w:w="80" w:type="dxa"/>
            </w:tcMar>
          </w:tcPr>
          <w:p>
            <w:pPr>
              <w:pStyle w:val="TableText"/>
            </w:pPr>
            <w:r/>
            <w:r>
              <w:rPr>
                <w:b w:val="0"/>
              </w:rPr>
              <w:t>Do not default normal.</w:t>
            </w:r>
          </w:p>
        </w:tc>
      </w:tr>
      <w:tr>
        <w:trPr>
          <w:cantSplit/>
        </w:trPr>
        <w:tc>
          <w:tcPr>
            <w:tcW w:type="dxa" w:w="1037"/>
            <w:vAlign w:val="center"/>
            <w:tcMar>
              <w:top w:w="70" w:type="dxa"/>
              <w:bottom w:w="70" w:type="dxa"/>
              <w:start w:w="80" w:type="dxa"/>
              <w:end w:w="80" w:type="dxa"/>
            </w:tcMar>
            <w:shd w:fill="EDF4FA"/>
          </w:tcPr>
          <w:p>
            <w:pPr>
              <w:pStyle w:val="TableText"/>
            </w:pPr>
            <w:r/>
            <w:r>
              <w:rPr>
                <w:b w:val="0"/>
              </w:rPr>
              <w:t>US-T14</w:t>
            </w:r>
          </w:p>
        </w:tc>
        <w:tc>
          <w:tcPr>
            <w:tcW w:type="dxa" w:w="3672"/>
            <w:vAlign w:val="center"/>
            <w:tcMar>
              <w:top w:w="70" w:type="dxa"/>
              <w:bottom w:w="70" w:type="dxa"/>
              <w:start w:w="80" w:type="dxa"/>
              <w:end w:w="80" w:type="dxa"/>
            </w:tcMar>
            <w:shd w:fill="EDF4FA"/>
          </w:tcPr>
          <w:p>
            <w:pPr>
              <w:pStyle w:val="TableText"/>
            </w:pPr>
            <w:r/>
            <w:r>
              <w:rPr>
                <w:b w:val="0"/>
              </w:rPr>
              <w:t>Ultrasound record absent.</w:t>
            </w:r>
          </w:p>
        </w:tc>
        <w:tc>
          <w:tcPr>
            <w:tcW w:type="dxa" w:w="2232"/>
            <w:vAlign w:val="center"/>
            <w:tcMar>
              <w:top w:w="70" w:type="dxa"/>
              <w:bottom w:w="70" w:type="dxa"/>
              <w:start w:w="80" w:type="dxa"/>
              <w:end w:w="80" w:type="dxa"/>
            </w:tcMar>
            <w:shd w:fill="EDF4FA"/>
          </w:tcPr>
          <w:p>
            <w:pPr>
              <w:pStyle w:val="TableText"/>
            </w:pPr>
            <w:r/>
            <w:r>
              <w:rPr>
                <w:b w:val="0"/>
              </w:rPr>
              <w:t>ASSESSMENT INCOMPLETE</w:t>
            </w:r>
          </w:p>
        </w:tc>
        <w:tc>
          <w:tcPr>
            <w:tcW w:type="dxa" w:w="3816"/>
            <w:vAlign w:val="center"/>
            <w:tcMar>
              <w:top w:w="70" w:type="dxa"/>
              <w:bottom w:w="70" w:type="dxa"/>
              <w:start w:w="80" w:type="dxa"/>
              <w:end w:w="80" w:type="dxa"/>
            </w:tcMar>
            <w:shd w:fill="EDF4FA"/>
          </w:tcPr>
          <w:p>
            <w:pPr>
              <w:pStyle w:val="TableText"/>
            </w:pPr>
            <w:r/>
            <w:r>
              <w:rPr>
                <w:b w:val="0"/>
              </w:rPr>
              <w:t>Missing record identified.</w:t>
            </w:r>
          </w:p>
        </w:tc>
      </w:tr>
      <w:tr>
        <w:trPr>
          <w:cantSplit/>
        </w:trPr>
        <w:tc>
          <w:tcPr>
            <w:tcW w:type="dxa" w:w="1037"/>
            <w:vAlign w:val="center"/>
            <w:tcMar>
              <w:top w:w="70" w:type="dxa"/>
              <w:bottom w:w="70" w:type="dxa"/>
              <w:start w:w="80" w:type="dxa"/>
              <w:end w:w="80" w:type="dxa"/>
            </w:tcMar>
          </w:tcPr>
          <w:p>
            <w:pPr>
              <w:pStyle w:val="TableText"/>
            </w:pPr>
            <w:r/>
            <w:r>
              <w:rPr>
                <w:b w:val="0"/>
              </w:rPr>
              <w:t>US-T15</w:t>
            </w:r>
          </w:p>
        </w:tc>
        <w:tc>
          <w:tcPr>
            <w:tcW w:type="dxa" w:w="3672"/>
            <w:vAlign w:val="center"/>
            <w:tcMar>
              <w:top w:w="70" w:type="dxa"/>
              <w:bottom w:w="70" w:type="dxa"/>
              <w:start w:w="80" w:type="dxa"/>
              <w:end w:w="80" w:type="dxa"/>
            </w:tcMar>
          </w:tcPr>
          <w:p>
            <w:pPr>
              <w:pStyle w:val="TableText"/>
            </w:pPr>
            <w:r/>
            <w:r>
              <w:rPr>
                <w:b w:val="0"/>
              </w:rPr>
              <w:t>Value 'BREECH' uppercase.</w:t>
            </w:r>
          </w:p>
        </w:tc>
        <w:tc>
          <w:tcPr>
            <w:tcW w:type="dxa" w:w="2232"/>
            <w:vAlign w:val="center"/>
            <w:tcMar>
              <w:top w:w="70" w:type="dxa"/>
              <w:bottom w:w="70" w:type="dxa"/>
              <w:start w:w="80" w:type="dxa"/>
              <w:end w:w="80" w:type="dxa"/>
            </w:tcMar>
          </w:tcPr>
          <w:p>
            <w:pPr>
              <w:pStyle w:val="TableText"/>
            </w:pPr>
            <w:r/>
            <w:r>
              <w:rPr>
                <w:b w:val="0"/>
              </w:rPr>
              <w:t>HIGH</w:t>
            </w:r>
          </w:p>
        </w:tc>
        <w:tc>
          <w:tcPr>
            <w:tcW w:type="dxa" w:w="3816"/>
            <w:vAlign w:val="center"/>
            <w:tcMar>
              <w:top w:w="70" w:type="dxa"/>
              <w:bottom w:w="70" w:type="dxa"/>
              <w:start w:w="80" w:type="dxa"/>
              <w:end w:w="80" w:type="dxa"/>
            </w:tcMar>
          </w:tcPr>
          <w:p>
            <w:pPr>
              <w:pStyle w:val="TableText"/>
            </w:pPr>
            <w:r/>
            <w:r>
              <w:rPr>
                <w:b w:val="0"/>
              </w:rPr>
              <w:t>Case-normalized safely.</w:t>
            </w:r>
          </w:p>
        </w:tc>
      </w:tr>
      <w:tr>
        <w:trPr>
          <w:cantSplit/>
        </w:trPr>
        <w:tc>
          <w:tcPr>
            <w:tcW w:type="dxa" w:w="1037"/>
            <w:vAlign w:val="center"/>
            <w:tcMar>
              <w:top w:w="70" w:type="dxa"/>
              <w:bottom w:w="70" w:type="dxa"/>
              <w:start w:w="80" w:type="dxa"/>
              <w:end w:w="80" w:type="dxa"/>
            </w:tcMar>
            <w:shd w:fill="EDF4FA"/>
          </w:tcPr>
          <w:p>
            <w:pPr>
              <w:pStyle w:val="TableText"/>
            </w:pPr>
            <w:r/>
            <w:r>
              <w:rPr>
                <w:b w:val="0"/>
              </w:rPr>
              <w:t>US-T16</w:t>
            </w:r>
          </w:p>
        </w:tc>
        <w:tc>
          <w:tcPr>
            <w:tcW w:type="dxa" w:w="3672"/>
            <w:vAlign w:val="center"/>
            <w:tcMar>
              <w:top w:w="70" w:type="dxa"/>
              <w:bottom w:w="70" w:type="dxa"/>
              <w:start w:w="80" w:type="dxa"/>
              <w:end w:w="80" w:type="dxa"/>
            </w:tcMar>
            <w:shd w:fill="EDF4FA"/>
          </w:tcPr>
          <w:p>
            <w:pPr>
              <w:pStyle w:val="TableText"/>
            </w:pPr>
            <w:r/>
            <w:r>
              <w:rPr>
                <w:b w:val="0"/>
              </w:rPr>
              <w:t>Unsupported value 'Posterior'.</w:t>
            </w:r>
          </w:p>
        </w:tc>
        <w:tc>
          <w:tcPr>
            <w:tcW w:type="dxa" w:w="2232"/>
            <w:vAlign w:val="center"/>
            <w:tcMar>
              <w:top w:w="70" w:type="dxa"/>
              <w:bottom w:w="70" w:type="dxa"/>
              <w:start w:w="80" w:type="dxa"/>
              <w:end w:w="80" w:type="dxa"/>
            </w:tcMar>
            <w:shd w:fill="EDF4FA"/>
          </w:tcPr>
          <w:p>
            <w:pPr>
              <w:pStyle w:val="TableText"/>
            </w:pPr>
            <w:r/>
            <w:r>
              <w:rPr>
                <w:b w:val="0"/>
              </w:rPr>
              <w:t>Validation error</w:t>
            </w:r>
          </w:p>
        </w:tc>
        <w:tc>
          <w:tcPr>
            <w:tcW w:type="dxa" w:w="3816"/>
            <w:vAlign w:val="center"/>
            <w:tcMar>
              <w:top w:w="70" w:type="dxa"/>
              <w:bottom w:w="70" w:type="dxa"/>
              <w:start w:w="80" w:type="dxa"/>
              <w:end w:w="80" w:type="dxa"/>
            </w:tcMar>
            <w:shd w:fill="EDF4FA"/>
          </w:tcPr>
          <w:p>
            <w:pPr>
              <w:pStyle w:val="TableText"/>
            </w:pPr>
            <w:r/>
            <w:r>
              <w:rPr>
                <w:b w:val="0"/>
              </w:rPr>
              <w:t>Do not map placental term to presentation.</w:t>
            </w:r>
          </w:p>
        </w:tc>
      </w:tr>
      <w:tr>
        <w:trPr>
          <w:cantSplit/>
        </w:trPr>
        <w:tc>
          <w:tcPr>
            <w:tcW w:type="dxa" w:w="1037"/>
            <w:vAlign w:val="center"/>
            <w:tcMar>
              <w:top w:w="70" w:type="dxa"/>
              <w:bottom w:w="70" w:type="dxa"/>
              <w:start w:w="80" w:type="dxa"/>
              <w:end w:w="80" w:type="dxa"/>
            </w:tcMar>
          </w:tcPr>
          <w:p>
            <w:pPr>
              <w:pStyle w:val="TableText"/>
            </w:pPr>
            <w:r/>
            <w:r>
              <w:rPr>
                <w:b w:val="0"/>
              </w:rPr>
              <w:t>US-T17</w:t>
            </w:r>
          </w:p>
        </w:tc>
        <w:tc>
          <w:tcPr>
            <w:tcW w:type="dxa" w:w="3672"/>
            <w:vAlign w:val="center"/>
            <w:tcMar>
              <w:top w:w="70" w:type="dxa"/>
              <w:bottom w:w="70" w:type="dxa"/>
              <w:start w:w="80" w:type="dxa"/>
              <w:end w:w="80" w:type="dxa"/>
            </w:tcMar>
          </w:tcPr>
          <w:p>
            <w:pPr>
              <w:pStyle w:val="TableText"/>
            </w:pPr>
            <w:r/>
            <w:r>
              <w:rPr>
                <w:b w:val="0"/>
              </w:rPr>
              <w:t>Report updated breech to cephalic.</w:t>
            </w:r>
          </w:p>
        </w:tc>
        <w:tc>
          <w:tcPr>
            <w:tcW w:type="dxa" w:w="2232"/>
            <w:vAlign w:val="center"/>
            <w:tcMar>
              <w:top w:w="70" w:type="dxa"/>
              <w:bottom w:w="70" w:type="dxa"/>
              <w:start w:w="80" w:type="dxa"/>
              <w:end w:w="80" w:type="dxa"/>
            </w:tcMar>
          </w:tcPr>
          <w:p>
            <w:pPr>
              <w:pStyle w:val="TableText"/>
            </w:pPr>
            <w:r/>
            <w:r>
              <w:rPr>
                <w:b w:val="0"/>
              </w:rPr>
              <w:t>Recalculate all logic</w:t>
            </w:r>
          </w:p>
        </w:tc>
        <w:tc>
          <w:tcPr>
            <w:tcW w:type="dxa" w:w="3816"/>
            <w:vAlign w:val="center"/>
            <w:tcMar>
              <w:top w:w="70" w:type="dxa"/>
              <w:bottom w:w="70" w:type="dxa"/>
              <w:start w:w="80" w:type="dxa"/>
              <w:end w:w="80" w:type="dxa"/>
            </w:tcMar>
          </w:tcPr>
          <w:p>
            <w:pPr>
              <w:pStyle w:val="TableText"/>
            </w:pPr>
            <w:r/>
            <w:r>
              <w:rPr>
                <w:b w:val="0"/>
              </w:rPr>
              <w:t>Audit source/date and do not force LOW automatically.</w:t>
            </w:r>
          </w:p>
        </w:tc>
      </w:tr>
      <w:tr>
        <w:trPr>
          <w:cantSplit/>
        </w:trPr>
        <w:tc>
          <w:tcPr>
            <w:tcW w:type="dxa" w:w="1037"/>
            <w:vAlign w:val="center"/>
            <w:tcMar>
              <w:top w:w="70" w:type="dxa"/>
              <w:bottom w:w="70" w:type="dxa"/>
              <w:start w:w="80" w:type="dxa"/>
              <w:end w:w="80" w:type="dxa"/>
            </w:tcMar>
            <w:shd w:fill="EDF4FA"/>
          </w:tcPr>
          <w:p>
            <w:pPr>
              <w:pStyle w:val="TableText"/>
            </w:pPr>
            <w:r/>
            <w:r>
              <w:rPr>
                <w:b w:val="0"/>
              </w:rPr>
              <w:t>US-T18</w:t>
            </w:r>
          </w:p>
        </w:tc>
        <w:tc>
          <w:tcPr>
            <w:tcW w:type="dxa" w:w="3672"/>
            <w:vAlign w:val="center"/>
            <w:tcMar>
              <w:top w:w="70" w:type="dxa"/>
              <w:bottom w:w="70" w:type="dxa"/>
              <w:start w:w="80" w:type="dxa"/>
              <w:end w:w="80" w:type="dxa"/>
            </w:tcMar>
            <w:shd w:fill="EDF4FA"/>
          </w:tcPr>
          <w:p>
            <w:pPr>
              <w:pStyle w:val="TableText"/>
            </w:pPr>
            <w:r/>
            <w:r>
              <w:rPr>
                <w:b w:val="0"/>
              </w:rPr>
              <w:t>Old scan copied into new pregnancy.</w:t>
            </w:r>
          </w:p>
        </w:tc>
        <w:tc>
          <w:tcPr>
            <w:tcW w:type="dxa" w:w="2232"/>
            <w:vAlign w:val="center"/>
            <w:tcMar>
              <w:top w:w="70" w:type="dxa"/>
              <w:bottom w:w="70" w:type="dxa"/>
              <w:start w:w="80" w:type="dxa"/>
              <w:end w:w="80" w:type="dxa"/>
            </w:tcMar>
            <w:shd w:fill="EDF4FA"/>
          </w:tcPr>
          <w:p>
            <w:pPr>
              <w:pStyle w:val="TableText"/>
            </w:pPr>
            <w:r/>
            <w:r>
              <w:rPr>
                <w:b w:val="0"/>
              </w:rPr>
              <w:t>Blocked/data-quality failure</w:t>
            </w:r>
          </w:p>
        </w:tc>
        <w:tc>
          <w:tcPr>
            <w:tcW w:type="dxa" w:w="3816"/>
            <w:vAlign w:val="center"/>
            <w:tcMar>
              <w:top w:w="70" w:type="dxa"/>
              <w:bottom w:w="70" w:type="dxa"/>
              <w:start w:w="80" w:type="dxa"/>
              <w:end w:w="80" w:type="dxa"/>
            </w:tcMar>
            <w:shd w:fill="EDF4FA"/>
          </w:tcPr>
          <w:p>
            <w:pPr>
              <w:pStyle w:val="TableText"/>
            </w:pPr>
            <w:r/>
            <w:r>
              <w:rPr>
                <w:b w:val="0"/>
              </w:rPr>
              <w:t>Pregnancy-specific linkage required.</w:t>
            </w:r>
          </w:p>
        </w:tc>
      </w:tr>
      <w:tr>
        <w:trPr>
          <w:cantSplit/>
        </w:trPr>
        <w:tc>
          <w:tcPr>
            <w:tcW w:type="dxa" w:w="1037"/>
            <w:vAlign w:val="center"/>
            <w:tcMar>
              <w:top w:w="70" w:type="dxa"/>
              <w:bottom w:w="70" w:type="dxa"/>
              <w:start w:w="80" w:type="dxa"/>
              <w:end w:w="80" w:type="dxa"/>
            </w:tcMar>
          </w:tcPr>
          <w:p>
            <w:pPr>
              <w:pStyle w:val="TableText"/>
            </w:pPr>
            <w:r/>
            <w:r>
              <w:rPr>
                <w:b w:val="0"/>
              </w:rPr>
              <w:t>US-T19</w:t>
            </w:r>
          </w:p>
        </w:tc>
        <w:tc>
          <w:tcPr>
            <w:tcW w:type="dxa" w:w="3672"/>
            <w:vAlign w:val="center"/>
            <w:tcMar>
              <w:top w:w="70" w:type="dxa"/>
              <w:bottom w:w="70" w:type="dxa"/>
              <w:start w:w="80" w:type="dxa"/>
              <w:end w:w="80" w:type="dxa"/>
            </w:tcMar>
          </w:tcPr>
          <w:p>
            <w:pPr>
              <w:pStyle w:val="TableText"/>
            </w:pPr>
            <w:r/>
            <w:r>
              <w:rPr>
                <w:b w:val="0"/>
              </w:rPr>
              <w:t>Referral pending.</w:t>
            </w:r>
          </w:p>
        </w:tc>
        <w:tc>
          <w:tcPr>
            <w:tcW w:type="dxa" w:w="2232"/>
            <w:vAlign w:val="center"/>
            <w:tcMar>
              <w:top w:w="70" w:type="dxa"/>
              <w:bottom w:w="70" w:type="dxa"/>
              <w:start w:w="80" w:type="dxa"/>
              <w:end w:w="80" w:type="dxa"/>
            </w:tcMar>
          </w:tcPr>
          <w:p>
            <w:pPr>
              <w:pStyle w:val="TableText"/>
            </w:pPr>
            <w:r/>
            <w:r>
              <w:rPr>
                <w:b w:val="0"/>
              </w:rPr>
              <w:t>HIGH remains</w:t>
            </w:r>
          </w:p>
        </w:tc>
        <w:tc>
          <w:tcPr>
            <w:tcW w:type="dxa" w:w="3816"/>
            <w:vAlign w:val="center"/>
            <w:tcMar>
              <w:top w:w="70" w:type="dxa"/>
              <w:bottom w:w="70" w:type="dxa"/>
              <w:start w:w="80" w:type="dxa"/>
              <w:end w:w="80" w:type="dxa"/>
            </w:tcMar>
          </w:tcPr>
          <w:p>
            <w:pPr>
              <w:pStyle w:val="TableText"/>
            </w:pPr>
            <w:r/>
            <w:r>
              <w:rPr>
                <w:b w:val="0"/>
              </w:rPr>
              <w:t>Unresolved follow-up visible.</w:t>
            </w:r>
          </w:p>
        </w:tc>
      </w:tr>
      <w:tr>
        <w:trPr>
          <w:cantSplit/>
        </w:trPr>
        <w:tc>
          <w:tcPr>
            <w:tcW w:type="dxa" w:w="1037"/>
            <w:vAlign w:val="center"/>
            <w:tcMar>
              <w:top w:w="70" w:type="dxa"/>
              <w:bottom w:w="70" w:type="dxa"/>
              <w:start w:w="80" w:type="dxa"/>
              <w:end w:w="80" w:type="dxa"/>
            </w:tcMar>
            <w:shd w:fill="EDF4FA"/>
          </w:tcPr>
          <w:p>
            <w:pPr>
              <w:pStyle w:val="TableText"/>
            </w:pPr>
            <w:r/>
            <w:r>
              <w:rPr>
                <w:b w:val="0"/>
              </w:rPr>
              <w:t>US-T20</w:t>
            </w:r>
          </w:p>
        </w:tc>
        <w:tc>
          <w:tcPr>
            <w:tcW w:type="dxa" w:w="3672"/>
            <w:vAlign w:val="center"/>
            <w:tcMar>
              <w:top w:w="70" w:type="dxa"/>
              <w:bottom w:w="70" w:type="dxa"/>
              <w:start w:w="80" w:type="dxa"/>
              <w:end w:w="80" w:type="dxa"/>
            </w:tcMar>
            <w:shd w:fill="EDF4FA"/>
          </w:tcPr>
          <w:p>
            <w:pPr>
              <w:pStyle w:val="TableText"/>
            </w:pPr>
            <w:r/>
            <w:r>
              <w:rPr>
                <w:b w:val="0"/>
              </w:rPr>
              <w:t>Patient has pain/bleeding and absent activity entry.</w:t>
            </w:r>
          </w:p>
        </w:tc>
        <w:tc>
          <w:tcPr>
            <w:tcW w:type="dxa" w:w="2232"/>
            <w:vAlign w:val="center"/>
            <w:tcMar>
              <w:top w:w="70" w:type="dxa"/>
              <w:bottom w:w="70" w:type="dxa"/>
              <w:start w:w="80" w:type="dxa"/>
              <w:end w:w="80" w:type="dxa"/>
            </w:tcMar>
            <w:shd w:fill="EDF4FA"/>
          </w:tcPr>
          <w:p>
            <w:pPr>
              <w:pStyle w:val="TableText"/>
            </w:pPr>
            <w:r/>
            <w:r>
              <w:rPr>
                <w:b w:val="0"/>
              </w:rPr>
              <w:t>Emergency pathway plus HIGH</w:t>
            </w:r>
          </w:p>
        </w:tc>
        <w:tc>
          <w:tcPr>
            <w:tcW w:type="dxa" w:w="3816"/>
            <w:vAlign w:val="center"/>
            <w:tcMar>
              <w:top w:w="70" w:type="dxa"/>
              <w:bottom w:w="70" w:type="dxa"/>
              <w:start w:w="80" w:type="dxa"/>
              <w:end w:w="80" w:type="dxa"/>
            </w:tcMar>
            <w:shd w:fill="EDF4FA"/>
          </w:tcPr>
          <w:p>
            <w:pPr>
              <w:pStyle w:val="TableText"/>
            </w:pPr>
            <w:r/>
            <w:r>
              <w:rPr>
                <w:b w:val="0"/>
              </w:rPr>
              <w:t>Do not wait for ML.</w:t>
            </w:r>
          </w:p>
        </w:tc>
      </w:tr>
    </w:tbl>
    <w:p>
      <w:pPr>
        <w:spacing w:after="20"/>
      </w:pPr>
    </w:p>
    <w:p>
      <w:pPr>
        <w:pStyle w:val="Heading1"/>
      </w:pPr>
      <w:r>
        <w:t>15. Clinical Governance Requirements</w:t>
      </w:r>
    </w:p>
    <w:p>
      <w:pPr>
        <w:pStyle w:val="ListNumber"/>
        <w:spacing w:after="40"/>
      </w:pPr>
      <w:r>
        <w:t>Require a signed or electronically attributable ultrasound report from a qualified professional; the lying-in clinic should not invent or reinterpret report findings.</w:t>
      </w:r>
    </w:p>
    <w:p>
      <w:pPr>
        <w:pStyle w:val="ListNumber"/>
        <w:spacing w:after="40"/>
      </w:pPr>
      <w:r>
        <w:t>Store gestational age, examination date, report source, and method or numeric measurement when available.</w:t>
      </w:r>
    </w:p>
    <w:p>
      <w:pPr>
        <w:pStyle w:val="ListNumber"/>
        <w:spacing w:after="40"/>
      </w:pPr>
      <w:r>
        <w:t>Replace vague heartbeat options in a future version with structured report language: cardiac activity visualized/not visualized, measured rate, rhythm comment, and confirmation recommendation.</w:t>
      </w:r>
    </w:p>
    <w:p>
      <w:pPr>
        <w:pStyle w:val="ListNumber"/>
        <w:spacing w:after="40"/>
      </w:pPr>
      <w:r>
        <w:t>Make presentation rules gestational-age-aware in future versions so an early transient breech position is not represented as equivalent to term breech.</w:t>
      </w:r>
    </w:p>
    <w:p>
      <w:pPr>
        <w:pStyle w:val="ListNumber"/>
        <w:spacing w:after="40"/>
      </w:pPr>
      <w:r>
        <w:t>Keep an explicit Unknown/Not assessed option and prevent blank values from behaving as normal.</w:t>
      </w:r>
    </w:p>
    <w:p>
      <w:pPr>
        <w:pStyle w:val="ListNumber"/>
        <w:spacing w:after="40"/>
      </w:pPr>
      <w:r>
        <w:t>Create separate urgent workflows for absent cardiac activity and for current pain, bleeding, syncope, membrane rupture, reduced fetal movement, or other danger signs.</w:t>
      </w:r>
    </w:p>
    <w:p>
      <w:pPr>
        <w:pStyle w:val="ListNumber"/>
        <w:spacing w:after="40"/>
      </w:pPr>
      <w:r>
        <w:t>Require obstetric review of the rule set, referral language, and clinic escalation policy before deployment.</w:t>
      </w:r>
    </w:p>
    <w:p>
      <w:pPr>
        <w:pStyle w:val="ListNumber"/>
        <w:spacing w:after="40"/>
      </w:pPr>
      <w:r>
        <w:t>Audit transcription discrepancies, false LOW results, outdated reports, incomplete referrals, and any case where the software wording was mistaken for a diagnosis.</w:t>
      </w:r>
    </w:p>
    <w:p>
      <w:pPr>
        <w:pStyle w:val="ListNumber"/>
        <w:spacing w:after="40"/>
      </w:pPr>
      <w:r>
        <w:t>Do not add image analysis, fetal-death diagnosis, ECV advice, fluid-treatment advice, or delivery-timing algorithms without separate evidence review, regulatory assessment, clinical validation, and governance.</w:t>
      </w:r>
    </w:p>
    <w:p>
      <w:pPr>
        <w:pStyle w:val="Heading1"/>
      </w:pPr>
      <w:r>
        <w:t>16. Panel Defense Questions and Model Answers</w:t>
      </w:r>
    </w:p>
    <w:p>
      <w:pPr>
        <w:keepNext/>
      </w:pPr>
      <w:r>
        <w:rPr>
          <w:b/>
          <w:color w:val="17365D"/>
        </w:rPr>
        <w:t>Q: Does your system interpret ultrasound images?</w:t>
      </w:r>
    </w:p>
    <w:p>
      <w:pPr>
        <w:ind w:left="288"/>
      </w:pPr>
      <w:r>
        <w:t>A: No. A qualified external professional performs and interprets the scan. The system stores selected report findings and uses them only as deterministic referral factors.</w:t>
      </w:r>
    </w:p>
    <w:p>
      <w:pPr>
        <w:keepNext/>
      </w:pPr>
      <w:r>
        <w:rPr>
          <w:b/>
          <w:color w:val="17365D"/>
        </w:rPr>
        <w:t>Q: Why are breech, transverse, and oblique HIGH?</w:t>
      </w:r>
    </w:p>
    <w:p>
      <w:pPr>
        <w:ind w:left="288"/>
      </w:pPr>
      <w:r>
        <w:t>A: Near birth these positions can make routine normal delivery inappropriate and may require hospital resources. The current broad rule is conservative because the clinic cannot perform individualized delivery planning.</w:t>
      </w:r>
    </w:p>
    <w:p>
      <w:pPr>
        <w:keepNext/>
      </w:pPr>
      <w:r>
        <w:rPr>
          <w:b/>
          <w:color w:val="17365D"/>
        </w:rPr>
        <w:t>Q: Is breech always dangerous?</w:t>
      </w:r>
    </w:p>
    <w:p>
      <w:pPr>
        <w:ind w:left="288"/>
      </w:pPr>
      <w:r>
        <w:t>A: No. Presentation changes earlier in pregnancy, and selected term breech cases may have different options. HIGH means obstetric review and facility planning, not certainty of harm.</w:t>
      </w:r>
    </w:p>
    <w:p>
      <w:pPr>
        <w:keepNext/>
      </w:pPr>
      <w:r>
        <w:rPr>
          <w:b/>
          <w:color w:val="17365D"/>
        </w:rPr>
        <w:t>Q: Why are both low and high fluid HIGH?</w:t>
      </w:r>
    </w:p>
    <w:p>
      <w:pPr>
        <w:ind w:left="288"/>
      </w:pPr>
      <w:r>
        <w:t>A: Both can reflect clinically important maternal, fetal, placental, or membrane-related conditions. The current categorical data cannot determine cause or severity.</w:t>
      </w:r>
    </w:p>
    <w:p>
      <w:pPr>
        <w:keepNext/>
      </w:pPr>
      <w:r>
        <w:rPr>
          <w:b/>
          <w:color w:val="17365D"/>
        </w:rPr>
        <w:t>Q: What does weak heartbeat mean?</w:t>
      </w:r>
    </w:p>
    <w:p>
      <w:pPr>
        <w:ind w:left="288"/>
      </w:pPr>
      <w:r>
        <w:t>A: It is not a standardized diagnosis. In this project it is an external warning entry that requires qualified verification.</w:t>
      </w:r>
    </w:p>
    <w:p>
      <w:pPr>
        <w:keepNext/>
      </w:pPr>
      <w:r>
        <w:rPr>
          <w:b/>
          <w:color w:val="17365D"/>
        </w:rPr>
        <w:t>Q: Does absent heartbeat mean miscarriage?</w:t>
      </w:r>
    </w:p>
    <w:p>
      <w:pPr>
        <w:ind w:left="288"/>
      </w:pPr>
      <w:r>
        <w:t>A: Not automatically. Especially in early pregnancy, diagnosis may require measurements, second opinion, and repeat scanning. The CDSS never confirms pregnancy loss.</w:t>
      </w:r>
    </w:p>
    <w:p>
      <w:pPr>
        <w:keepNext/>
      </w:pPr>
      <w:r>
        <w:rPr>
          <w:b/>
          <w:color w:val="17365D"/>
        </w:rPr>
        <w:t>Q: Why override ML?</w:t>
      </w:r>
    </w:p>
    <w:p>
      <w:pPr>
        <w:ind w:left="288"/>
      </w:pPr>
      <w:r>
        <w:t>A: The ultrasound finding is a documented clinical input that may require action. A probabilistic LOW output cannot safely cancel it.</w:t>
      </w:r>
    </w:p>
    <w:p>
      <w:pPr>
        <w:keepNext/>
      </w:pPr>
      <w:r>
        <w:rPr>
          <w:b/>
          <w:color w:val="17365D"/>
        </w:rPr>
        <w:t>Q: Why is ultrasound required before LOW?</w:t>
      </w:r>
    </w:p>
    <w:p>
      <w:pPr>
        <w:ind w:left="288"/>
      </w:pPr>
      <w:r>
        <w:t>A: Your workflow requires the ultrasound record so that important presentation, fluid, and cardiac findings are not omitted. Missing data therefore produces ASSESSMENT INCOMPLETE.</w:t>
      </w:r>
    </w:p>
    <w:p>
      <w:pPr>
        <w:keepNext/>
      </w:pPr>
      <w:r>
        <w:rPr>
          <w:b/>
          <w:color w:val="17365D"/>
        </w:rPr>
        <w:t>Q: Can the system recommend cesarean delivery?</w:t>
      </w:r>
    </w:p>
    <w:p>
      <w:pPr>
        <w:ind w:left="288"/>
      </w:pPr>
      <w:r>
        <w:t>A: No. It recommends review and an appropriate hospital plan. The clinician determines delivery method and timing.</w:t>
      </w:r>
    </w:p>
    <w:p>
      <w:pPr>
        <w:keepNext/>
      </w:pPr>
      <w:r>
        <w:rPr>
          <w:b/>
          <w:color w:val="17365D"/>
        </w:rPr>
        <w:t>Q: What is the main limitation?</w:t>
      </w:r>
    </w:p>
    <w:p>
      <w:pPr>
        <w:ind w:left="288"/>
      </w:pPr>
      <w:r>
        <w:t>A: The fields are broad categories and may be manually transcribed. They lack gestational-age-aware thresholds, measurements, image data, and diagnostic confirmation.</w:t>
      </w:r>
    </w:p>
    <w:p>
      <w:pPr>
        <w:pStyle w:val="Heading1"/>
      </w:pPr>
      <w:r>
        <w:t>17. Final Rule Statement</w:t>
      </w:r>
    </w:p>
    <w:tbl>
      <w:tblPr>
        <w:tblW w:type="auto" w:w="0"/>
        <w:tblLook w:firstColumn="1" w:firstRow="1" w:lastColumn="0" w:lastRow="0" w:noHBand="0" w:noVBand="1" w:val="04A0"/>
      </w:tblPr>
      <w:tblGrid>
        <w:gridCol w:w="10080"/>
      </w:tblGrid>
      <w:tr>
        <w:tc>
          <w:tcPr>
            <w:tcW w:type="dxa" w:w="10080"/>
            <w:shd w:fill="E2F0D9"/>
            <w:tcBorders>
              <w:top w:val="single" w:sz="8" w:color="548235"/>
              <w:left w:val="single" w:sz="8" w:color="548235"/>
              <w:bottom w:val="single" w:sz="8" w:color="548235"/>
              <w:right w:val="single" w:sz="8" w:color="548235"/>
            </w:tcBorders>
            <w:tcMar>
              <w:top w:w="110" w:type="dxa"/>
              <w:bottom w:w="110" w:type="dxa"/>
              <w:start w:w="120" w:type="dxa"/>
              <w:end w:w="120" w:type="dxa"/>
            </w:tcMar>
          </w:tcPr>
          <w:p>
            <w:pPr>
              <w:pStyle w:val="Callout"/>
            </w:pPr>
            <w:r/>
            <w:r>
              <w:rPr>
                <w:b/>
                <w:color w:val="548235"/>
              </w:rPr>
              <w:t>Approved specification</w:t>
              <w:br/>
            </w:r>
            <w:r>
              <w:t>When a verified ultrasound report records breech, transverse, or oblique presentation; low or high amniotic fluid; or weak, abnormal, or absent fetal heartbeat, the CDSS shall activate the corresponding deterministic rule and classify the assessment as HIGH regardless of a LOW ML output. The interface shall identify the exact reported finding, recommend qualified review and referral or hospital birth planning as appropriate, and state that the system did not analyze the ultrasound. It shall not diagnose malpresentation severity, oligohydramnios, polyhydramnios, fetal compromise, miscarriage, or fetal death; select treatment; or determine delivery method or timing. Missing, unknown, contradictory, or unverified ultrasound data shall prevent LOW and produce ASSESSMENT INCOMPLETE.</w:t>
            </w:r>
          </w:p>
        </w:tc>
      </w:tr>
    </w:tbl>
    <w:p>
      <w:pPr>
        <w:spacing w:after="20"/>
      </w:pPr>
    </w:p>
    <w:p>
      <w:pPr>
        <w:pStyle w:val="Heading1"/>
      </w:pPr>
      <w:r>
        <w:t>18. References</w:t>
      </w:r>
    </w:p>
    <w:p>
      <w:r>
        <w:t>Official guideline and institutional sources are used wherever publicly available. Accessed July 2026. URLs are clickable.</w:t>
      </w:r>
    </w:p>
    <w:p>
      <w:pPr>
        <w:pStyle w:val="Reference"/>
        <w:ind w:left="259" w:hanging="259"/>
      </w:pPr>
      <w:r>
        <w:t xml:space="preserve">[1] International Society of Ultrasound in Obstetrics and Gynecology. ISUOG Practice Guidelines: performance of third-trimester obstetric ultrasound scan. 2024. </w:t>
      </w:r>
      <w:hyperlink r:id="rId11">
        <w:r>
          <w:rPr>
            <w:color w:val="2F75B5"/>
            <w:u w:val="single"/>
          </w:rPr>
          <w:t>https://www.isuog.org/resource/isuog-practice-guidelines-performance-of-third-trimester-obstetric.html</w:t>
        </w:r>
      </w:hyperlink>
    </w:p>
    <w:p>
      <w:pPr>
        <w:pStyle w:val="Reference"/>
        <w:ind w:left="259" w:hanging="259"/>
      </w:pPr>
      <w:r>
        <w:t xml:space="preserve">[2] International Society of Ultrasound in Obstetrics and Gynecology. ISUOG Practice Guidelines (updated): performance of the routine mid-trimester fetal ultrasound scan. 2022. </w:t>
      </w:r>
      <w:hyperlink r:id="rId12">
        <w:r>
          <w:rPr>
            <w:color w:val="2F75B5"/>
            <w:u w:val="single"/>
          </w:rPr>
          <w:t>https://www.isuog.org/resource/isuog-practice-guidelines-updated-performance-of-the-routine-mid-trimester-fetal-ultrasound-scan.html</w:t>
        </w:r>
      </w:hyperlink>
    </w:p>
    <w:p>
      <w:pPr>
        <w:pStyle w:val="Reference"/>
        <w:ind w:left="259" w:hanging="259"/>
      </w:pPr>
      <w:r>
        <w:t xml:space="preserve">[3] World Health Organization. Maternal and fetal assessment update: imaging ultrasound before 24 weeks of pregnancy. 2022. </w:t>
      </w:r>
      <w:hyperlink r:id="rId13">
        <w:r>
          <w:rPr>
            <w:color w:val="2F75B5"/>
            <w:u w:val="single"/>
          </w:rPr>
          <w:t>https://www.who.int/publications/i/item/9789240046009</w:t>
        </w:r>
      </w:hyperlink>
    </w:p>
    <w:p>
      <w:pPr>
        <w:pStyle w:val="Reference"/>
        <w:ind w:left="259" w:hanging="259"/>
      </w:pPr>
      <w:r>
        <w:t xml:space="preserve">[4] World Health Organization. WHO recommendations on antenatal care for a positive pregnancy experience. 2016, updated components. </w:t>
      </w:r>
      <w:hyperlink r:id="rId14">
        <w:r>
          <w:rPr>
            <w:color w:val="2F75B5"/>
            <w:u w:val="single"/>
          </w:rPr>
          <w:t>https://www.who.int/publications/i/item/9789241549912/</w:t>
        </w:r>
      </w:hyperlink>
    </w:p>
    <w:p>
      <w:pPr>
        <w:pStyle w:val="Reference"/>
        <w:ind w:left="259" w:hanging="259"/>
      </w:pPr>
      <w:r>
        <w:t xml:space="preserve">[5] American College of Obstetricians and Gynecologists. If Your Baby Is Breech. current online edition. </w:t>
      </w:r>
      <w:hyperlink r:id="rId15">
        <w:r>
          <w:rPr>
            <w:color w:val="2F75B5"/>
            <w:u w:val="single"/>
          </w:rPr>
          <w:t>https://www.acog.org/womens-health/faqs/if-your-baby-is-breech</w:t>
        </w:r>
      </w:hyperlink>
    </w:p>
    <w:p>
      <w:pPr>
        <w:pStyle w:val="Reference"/>
        <w:ind w:left="259" w:hanging="259"/>
      </w:pPr>
      <w:r>
        <w:t xml:space="preserve">[6] American College of Obstetricians and Gynecologists. Mode of Term Singleton Breech Delivery, Committee Opinion No. 745. 2018; reaffirmed 2026. </w:t>
      </w:r>
      <w:hyperlink r:id="rId16">
        <w:r>
          <w:rPr>
            <w:color w:val="2F75B5"/>
            <w:u w:val="single"/>
          </w:rPr>
          <w:t>https://www.acog.org/clinical/clinical-guidance/committee-opinion/articles/2018/08/mode-of-term-singleton-breech-delivery</w:t>
        </w:r>
      </w:hyperlink>
    </w:p>
    <w:p>
      <w:pPr>
        <w:pStyle w:val="Reference"/>
        <w:ind w:left="259" w:hanging="259"/>
      </w:pPr>
      <w:r>
        <w:t xml:space="preserve">[7] American College of Obstetricians and Gynecologists. Indications for Outpatient Antenatal Fetal Surveillance. 2021. </w:t>
      </w:r>
      <w:hyperlink r:id="rId17">
        <w:r>
          <w:rPr>
            <w:color w:val="2F75B5"/>
            <w:u w:val="single"/>
          </w:rPr>
          <w:t>https://www.acog.org/clinical/clinical-guidance/committee-opinion/articles/2021/06/indications-for-outpatient-antenatal-fetal-surveillance</w:t>
        </w:r>
      </w:hyperlink>
    </w:p>
    <w:p>
      <w:pPr>
        <w:pStyle w:val="Reference"/>
        <w:ind w:left="259" w:hanging="259"/>
      </w:pPr>
      <w:r>
        <w:t xml:space="preserve">[8] National Institute for Health and Care Excellence. Ectopic pregnancy and miscarriage: diagnosis of viable intrauterine pregnancy and tubal ectopic pregnancy, NG126. 2019; updated 2026. </w:t>
      </w:r>
      <w:hyperlink r:id="rId18">
        <w:r>
          <w:rPr>
            <w:color w:val="2F75B5"/>
            <w:u w:val="single"/>
          </w:rPr>
          <w:t>https://www.nice.org.uk/guidance/NG126/chapter/diagnosis-of-viable-intrauterine-pregnancy-and-of-tubal-ectopic-pregnancy</w:t>
        </w:r>
      </w:hyperlink>
    </w:p>
    <w:p>
      <w:pPr>
        <w:pStyle w:val="Reference"/>
        <w:ind w:left="259" w:hanging="259"/>
      </w:pPr>
      <w:r>
        <w:t xml:space="preserve">[9] National Institute for Health and Care Excellence. Quality statement 3: Confirming a diagnosis of miscarriage, QS69. 2014; updated 2026. </w:t>
      </w:r>
      <w:hyperlink r:id="rId19">
        <w:r>
          <w:rPr>
            <w:color w:val="2F75B5"/>
            <w:u w:val="single"/>
          </w:rPr>
          <w:t>https://www.nice.org.uk/guidance/qs69/chapter/quality-statement-3-confirming-a-diagnosis-of-miscarriage</w:t>
        </w:r>
      </w:hyperlink>
    </w:p>
    <w:p>
      <w:pPr>
        <w:pStyle w:val="Reference"/>
        <w:ind w:left="259" w:hanging="259"/>
      </w:pPr>
      <w:r>
        <w:t xml:space="preserve">[10] American College of Obstetricians and Gynecologists. Intrapartum Fetal Heart Rate Monitoring: Interpretation and Management, Clinical Practice Guideline No. 10. 2025. </w:t>
      </w:r>
      <w:hyperlink r:id="rId20">
        <w:r>
          <w:rPr>
            <w:color w:val="2F75B5"/>
            <w:u w:val="single"/>
          </w:rPr>
          <w:t>https://www.acog.org/clinical/clinical-guidance/clinical-practice-guideline/articles/2025/10/intrapartum-fetal-heart-rate-monitoring-interpretation-and-management</w:t>
        </w:r>
      </w:hyperlink>
    </w:p>
    <w:p>
      <w:pPr>
        <w:pStyle w:val="Reference"/>
        <w:ind w:left="259" w:hanging="259"/>
      </w:pPr>
      <w:r>
        <w:t xml:space="preserve">[11] Department of Health, Philippines. Administrative Order No. 2007-0039: Regulation of Birthing Homes. 2007. </w:t>
      </w:r>
      <w:hyperlink r:id="rId21">
        <w:r>
          <w:rPr>
            <w:color w:val="2F75B5"/>
            <w:u w:val="single"/>
          </w:rPr>
          <w:t>https://elibrary.judiciary.gov.ph/thebookshelf/showdocs/10/52132</w:t>
        </w:r>
      </w:hyperlink>
    </w:p>
    <w:p>
      <w:pPr>
        <w:pStyle w:val="Reference"/>
        <w:ind w:left="259" w:hanging="259"/>
      </w:pPr>
      <w:r>
        <w:t xml:space="preserve">[12] Philippine Health Insurance Corporation. Women about to give birth may avail themselves of PhilHealth benefits. 2016. </w:t>
      </w:r>
      <w:hyperlink r:id="rId22">
        <w:r>
          <w:rPr>
            <w:color w:val="2F75B5"/>
            <w:u w:val="single"/>
          </w:rPr>
          <w:t>https://www.philhealth.gov.ph/news/2016/pregnancy_benefits.html</w:t>
        </w:r>
      </w:hyperlink>
    </w:p>
    <w:p>
      <w:pPr>
        <w:pStyle w:val="Heading1"/>
      </w:pPr>
      <w:r>
        <w:t>Appendix A. Rule-to-Evidence Traceability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096"/>
            <w:vAlign w:val="center"/>
            <w:tcMar>
              <w:top w:w="70" w:type="dxa"/>
              <w:bottom w:w="70" w:type="dxa"/>
              <w:start w:w="80" w:type="dxa"/>
              <w:end w:w="80" w:type="dxa"/>
            </w:tcMar>
            <w:shd w:fill="17365D"/>
          </w:tcPr>
          <w:p>
            <w:pPr>
              <w:pStyle w:val="TableHeader"/>
            </w:pPr>
            <w:r/>
            <w:r>
              <w:rPr>
                <w:b/>
                <w:color w:val="FFFFFF"/>
              </w:rPr>
              <w:t>Rule element</w:t>
            </w:r>
          </w:p>
        </w:tc>
        <w:tc>
          <w:tcPr>
            <w:tcW w:type="dxa" w:w="4392"/>
            <w:vAlign w:val="center"/>
            <w:tcMar>
              <w:top w:w="70" w:type="dxa"/>
              <w:bottom w:w="70" w:type="dxa"/>
              <w:start w:w="80" w:type="dxa"/>
              <w:end w:w="80" w:type="dxa"/>
            </w:tcMar>
            <w:shd w:fill="17365D"/>
          </w:tcPr>
          <w:p>
            <w:pPr>
              <w:pStyle w:val="TableHeader"/>
            </w:pPr>
            <w:r/>
            <w:r>
              <w:rPr>
                <w:b/>
                <w:color w:val="FFFFFF"/>
              </w:rPr>
              <w:t>Evidence basis</w:t>
            </w:r>
          </w:p>
        </w:tc>
        <w:tc>
          <w:tcPr>
            <w:tcW w:type="dxa" w:w="3240"/>
            <w:vAlign w:val="center"/>
            <w:tcMar>
              <w:top w:w="70" w:type="dxa"/>
              <w:bottom w:w="70" w:type="dxa"/>
              <w:start w:w="80" w:type="dxa"/>
              <w:end w:w="80" w:type="dxa"/>
            </w:tcMar>
            <w:shd w:fill="17365D"/>
          </w:tcPr>
          <w:p>
            <w:pPr>
              <w:pStyle w:val="TableHeader"/>
            </w:pPr>
            <w:r/>
            <w:r>
              <w:rPr>
                <w:b/>
                <w:color w:val="FFFFFF"/>
              </w:rPr>
              <w:t>Statement type</w:t>
            </w:r>
          </w:p>
        </w:tc>
      </w:tr>
      <w:tr>
        <w:trPr>
          <w:cantSplit/>
        </w:trPr>
        <w:tc>
          <w:tcPr>
            <w:tcW w:type="dxa" w:w="3096"/>
            <w:vAlign w:val="center"/>
            <w:tcMar>
              <w:top w:w="70" w:type="dxa"/>
              <w:bottom w:w="70" w:type="dxa"/>
              <w:start w:w="80" w:type="dxa"/>
              <w:end w:w="80" w:type="dxa"/>
            </w:tcMar>
          </w:tcPr>
          <w:p>
            <w:pPr>
              <w:pStyle w:val="TableText"/>
            </w:pPr>
            <w:r/>
            <w:r>
              <w:rPr>
                <w:b w:val="0"/>
              </w:rPr>
              <w:t>Third-trimester scan includes presentation and fluid assessment</w:t>
            </w:r>
          </w:p>
        </w:tc>
        <w:tc>
          <w:tcPr>
            <w:tcW w:type="dxa" w:w="4392"/>
            <w:vAlign w:val="center"/>
            <w:tcMar>
              <w:top w:w="70" w:type="dxa"/>
              <w:bottom w:w="70" w:type="dxa"/>
              <w:start w:w="80" w:type="dxa"/>
              <w:end w:w="80" w:type="dxa"/>
            </w:tcMar>
          </w:tcPr>
          <w:p>
            <w:pPr>
              <w:pStyle w:val="TableText"/>
            </w:pPr>
            <w:r/>
            <w:r>
              <w:rPr>
                <w:b w:val="0"/>
              </w:rPr>
              <w:t>ISUOG 2024.</w:t>
            </w:r>
          </w:p>
        </w:tc>
        <w:tc>
          <w:tcPr>
            <w:tcW w:type="dxa" w:w="3240"/>
            <w:vAlign w:val="center"/>
            <w:tcMar>
              <w:top w:w="70" w:type="dxa"/>
              <w:bottom w:w="70" w:type="dxa"/>
              <w:start w:w="80" w:type="dxa"/>
              <w:end w:w="80" w:type="dxa"/>
            </w:tcMar>
          </w:tcPr>
          <w:p>
            <w:pPr>
              <w:pStyle w:val="TableText"/>
            </w:pPr>
            <w:r/>
            <w:r>
              <w:rPr>
                <w:b w:val="0"/>
              </w:rPr>
              <w:t>Guideline-supported.</w:t>
            </w:r>
          </w:p>
        </w:tc>
      </w:tr>
      <w:tr>
        <w:trPr>
          <w:cantSplit/>
        </w:trPr>
        <w:tc>
          <w:tcPr>
            <w:tcW w:type="dxa" w:w="3096"/>
            <w:vAlign w:val="center"/>
            <w:tcMar>
              <w:top w:w="70" w:type="dxa"/>
              <w:bottom w:w="70" w:type="dxa"/>
              <w:start w:w="80" w:type="dxa"/>
              <w:end w:w="80" w:type="dxa"/>
            </w:tcMar>
            <w:shd w:fill="EDF4FA"/>
          </w:tcPr>
          <w:p>
            <w:pPr>
              <w:pStyle w:val="TableText"/>
            </w:pPr>
            <w:r/>
            <w:r>
              <w:rPr>
                <w:b w:val="0"/>
              </w:rPr>
              <w:t>Breech/other non-cephalic presentation needs individualized birth planning</w:t>
            </w:r>
          </w:p>
        </w:tc>
        <w:tc>
          <w:tcPr>
            <w:tcW w:type="dxa" w:w="4392"/>
            <w:vAlign w:val="center"/>
            <w:tcMar>
              <w:top w:w="70" w:type="dxa"/>
              <w:bottom w:w="70" w:type="dxa"/>
              <w:start w:w="80" w:type="dxa"/>
              <w:end w:w="80" w:type="dxa"/>
            </w:tcMar>
            <w:shd w:fill="EDF4FA"/>
          </w:tcPr>
          <w:p>
            <w:pPr>
              <w:pStyle w:val="TableText"/>
            </w:pPr>
            <w:r/>
            <w:r>
              <w:rPr>
                <w:b w:val="0"/>
              </w:rPr>
              <w:t>ACOG and ISUOG.</w:t>
            </w:r>
          </w:p>
        </w:tc>
        <w:tc>
          <w:tcPr>
            <w:tcW w:type="dxa" w:w="3240"/>
            <w:vAlign w:val="center"/>
            <w:tcMar>
              <w:top w:w="70" w:type="dxa"/>
              <w:bottom w:w="70" w:type="dxa"/>
              <w:start w:w="80" w:type="dxa"/>
              <w:end w:w="80" w:type="dxa"/>
            </w:tcMar>
            <w:shd w:fill="EDF4FA"/>
          </w:tcPr>
          <w:p>
            <w:pPr>
              <w:pStyle w:val="TableText"/>
            </w:pPr>
            <w:r/>
            <w:r>
              <w:rPr>
                <w:b w:val="0"/>
              </w:rPr>
              <w:t>Guideline-supported.</w:t>
            </w:r>
          </w:p>
        </w:tc>
      </w:tr>
      <w:tr>
        <w:trPr>
          <w:cantSplit/>
        </w:trPr>
        <w:tc>
          <w:tcPr>
            <w:tcW w:type="dxa" w:w="3096"/>
            <w:vAlign w:val="center"/>
            <w:tcMar>
              <w:top w:w="70" w:type="dxa"/>
              <w:bottom w:w="70" w:type="dxa"/>
              <w:start w:w="80" w:type="dxa"/>
              <w:end w:w="80" w:type="dxa"/>
            </w:tcMar>
          </w:tcPr>
          <w:p>
            <w:pPr>
              <w:pStyle w:val="TableText"/>
            </w:pPr>
            <w:r/>
            <w:r>
              <w:rPr>
                <w:b w:val="0"/>
              </w:rPr>
              <w:t>Fluid abnormalities need measurement, cause, severity, and surveillance context</w:t>
            </w:r>
          </w:p>
        </w:tc>
        <w:tc>
          <w:tcPr>
            <w:tcW w:type="dxa" w:w="4392"/>
            <w:vAlign w:val="center"/>
            <w:tcMar>
              <w:top w:w="70" w:type="dxa"/>
              <w:bottom w:w="70" w:type="dxa"/>
              <w:start w:w="80" w:type="dxa"/>
              <w:end w:w="80" w:type="dxa"/>
            </w:tcMar>
          </w:tcPr>
          <w:p>
            <w:pPr>
              <w:pStyle w:val="TableText"/>
            </w:pPr>
            <w:r/>
            <w:r>
              <w:rPr>
                <w:b w:val="0"/>
              </w:rPr>
              <w:t>ACOG and ISUOG.</w:t>
            </w:r>
          </w:p>
        </w:tc>
        <w:tc>
          <w:tcPr>
            <w:tcW w:type="dxa" w:w="3240"/>
            <w:vAlign w:val="center"/>
            <w:tcMar>
              <w:top w:w="70" w:type="dxa"/>
              <w:bottom w:w="70" w:type="dxa"/>
              <w:start w:w="80" w:type="dxa"/>
              <w:end w:w="80" w:type="dxa"/>
            </w:tcMar>
          </w:tcPr>
          <w:p>
            <w:pPr>
              <w:pStyle w:val="TableText"/>
            </w:pPr>
            <w:r/>
            <w:r>
              <w:rPr>
                <w:b w:val="0"/>
              </w:rPr>
              <w:t>Guideline-supported.</w:t>
            </w:r>
          </w:p>
        </w:tc>
      </w:tr>
      <w:tr>
        <w:trPr>
          <w:cantSplit/>
        </w:trPr>
        <w:tc>
          <w:tcPr>
            <w:tcW w:type="dxa" w:w="3096"/>
            <w:vAlign w:val="center"/>
            <w:tcMar>
              <w:top w:w="70" w:type="dxa"/>
              <w:bottom w:w="70" w:type="dxa"/>
              <w:start w:w="80" w:type="dxa"/>
              <w:end w:w="80" w:type="dxa"/>
            </w:tcMar>
            <w:shd w:fill="EDF4FA"/>
          </w:tcPr>
          <w:p>
            <w:pPr>
              <w:pStyle w:val="TableText"/>
            </w:pPr>
            <w:r/>
            <w:r>
              <w:rPr>
                <w:b w:val="0"/>
              </w:rPr>
              <w:t>Absent early cardiac activity may require repeat confirmation</w:t>
            </w:r>
          </w:p>
        </w:tc>
        <w:tc>
          <w:tcPr>
            <w:tcW w:type="dxa" w:w="4392"/>
            <w:vAlign w:val="center"/>
            <w:tcMar>
              <w:top w:w="70" w:type="dxa"/>
              <w:bottom w:w="70" w:type="dxa"/>
              <w:start w:w="80" w:type="dxa"/>
              <w:end w:w="80" w:type="dxa"/>
            </w:tcMar>
            <w:shd w:fill="EDF4FA"/>
          </w:tcPr>
          <w:p>
            <w:pPr>
              <w:pStyle w:val="TableText"/>
            </w:pPr>
            <w:r/>
            <w:r>
              <w:rPr>
                <w:b w:val="0"/>
              </w:rPr>
              <w:t>NICE NG126/QS69.</w:t>
            </w:r>
          </w:p>
        </w:tc>
        <w:tc>
          <w:tcPr>
            <w:tcW w:type="dxa" w:w="3240"/>
            <w:vAlign w:val="center"/>
            <w:tcMar>
              <w:top w:w="70" w:type="dxa"/>
              <w:bottom w:w="70" w:type="dxa"/>
              <w:start w:w="80" w:type="dxa"/>
              <w:end w:w="80" w:type="dxa"/>
            </w:tcMar>
            <w:shd w:fill="EDF4FA"/>
          </w:tcPr>
          <w:p>
            <w:pPr>
              <w:pStyle w:val="TableText"/>
            </w:pPr>
            <w:r/>
            <w:r>
              <w:rPr>
                <w:b w:val="0"/>
              </w:rPr>
              <w:t>Guideline-supported.</w:t>
            </w:r>
          </w:p>
        </w:tc>
      </w:tr>
      <w:tr>
        <w:trPr>
          <w:cantSplit/>
        </w:trPr>
        <w:tc>
          <w:tcPr>
            <w:tcW w:type="dxa" w:w="3096"/>
            <w:vAlign w:val="center"/>
            <w:tcMar>
              <w:top w:w="70" w:type="dxa"/>
              <w:bottom w:w="70" w:type="dxa"/>
              <w:start w:w="80" w:type="dxa"/>
              <w:end w:w="80" w:type="dxa"/>
            </w:tcMar>
          </w:tcPr>
          <w:p>
            <w:pPr>
              <w:pStyle w:val="TableText"/>
            </w:pPr>
            <w:r/>
            <w:r>
              <w:rPr>
                <w:b w:val="0"/>
              </w:rPr>
              <w:t>Specified ultrasound values = HIGH</w:t>
            </w:r>
          </w:p>
        </w:tc>
        <w:tc>
          <w:tcPr>
            <w:tcW w:type="dxa" w:w="4392"/>
            <w:vAlign w:val="center"/>
            <w:tcMar>
              <w:top w:w="70" w:type="dxa"/>
              <w:bottom w:w="70" w:type="dxa"/>
              <w:start w:w="80" w:type="dxa"/>
              <w:end w:w="80" w:type="dxa"/>
            </w:tcMar>
          </w:tcPr>
          <w:p>
            <w:pPr>
              <w:pStyle w:val="TableText"/>
            </w:pPr>
            <w:r/>
            <w:r>
              <w:rPr>
                <w:b w:val="0"/>
              </w:rPr>
              <w:t>Evidence plus lying-in facility scope and limited categorical data.</w:t>
            </w:r>
          </w:p>
        </w:tc>
        <w:tc>
          <w:tcPr>
            <w:tcW w:type="dxa" w:w="3240"/>
            <w:vAlign w:val="center"/>
            <w:tcMar>
              <w:top w:w="70" w:type="dxa"/>
              <w:bottom w:w="70" w:type="dxa"/>
              <w:start w:w="80" w:type="dxa"/>
              <w:end w:w="80" w:type="dxa"/>
            </w:tcMar>
          </w:tcPr>
          <w:p>
            <w:pPr>
              <w:pStyle w:val="TableText"/>
            </w:pPr>
            <w:r/>
            <w:r>
              <w:rPr>
                <w:b w:val="0"/>
              </w:rPr>
              <w:t>Project design decision.</w:t>
            </w:r>
          </w:p>
        </w:tc>
      </w:tr>
      <w:tr>
        <w:trPr>
          <w:cantSplit/>
        </w:trPr>
        <w:tc>
          <w:tcPr>
            <w:tcW w:type="dxa" w:w="3096"/>
            <w:vAlign w:val="center"/>
            <w:tcMar>
              <w:top w:w="70" w:type="dxa"/>
              <w:bottom w:w="70" w:type="dxa"/>
              <w:start w:w="80" w:type="dxa"/>
              <w:end w:w="80" w:type="dxa"/>
            </w:tcMar>
            <w:shd w:fill="EDF4FA"/>
          </w:tcPr>
          <w:p>
            <w:pPr>
              <w:pStyle w:val="TableText"/>
            </w:pPr>
            <w:r/>
            <w:r>
              <w:rPr>
                <w:b w:val="0"/>
              </w:rPr>
              <w:t>Ultrasound rules override LOW ML</w:t>
            </w:r>
          </w:p>
        </w:tc>
        <w:tc>
          <w:tcPr>
            <w:tcW w:type="dxa" w:w="4392"/>
            <w:vAlign w:val="center"/>
            <w:tcMar>
              <w:top w:w="70" w:type="dxa"/>
              <w:bottom w:w="70" w:type="dxa"/>
              <w:start w:w="80" w:type="dxa"/>
              <w:end w:w="80" w:type="dxa"/>
            </w:tcMar>
            <w:shd w:fill="EDF4FA"/>
          </w:tcPr>
          <w:p>
            <w:pPr>
              <w:pStyle w:val="TableText"/>
            </w:pPr>
            <w:r/>
            <w:r>
              <w:rPr>
                <w:b w:val="0"/>
              </w:rPr>
              <w:t>Safety engineering and explainability.</w:t>
            </w:r>
          </w:p>
        </w:tc>
        <w:tc>
          <w:tcPr>
            <w:tcW w:type="dxa" w:w="3240"/>
            <w:vAlign w:val="center"/>
            <w:tcMar>
              <w:top w:w="70" w:type="dxa"/>
              <w:bottom w:w="70" w:type="dxa"/>
              <w:start w:w="80" w:type="dxa"/>
              <w:end w:w="80" w:type="dxa"/>
            </w:tcMar>
            <w:shd w:fill="EDF4FA"/>
          </w:tcPr>
          <w:p>
            <w:pPr>
              <w:pStyle w:val="TableText"/>
            </w:pPr>
            <w:r/>
            <w:r>
              <w:rPr>
                <w:b w:val="0"/>
              </w:rPr>
              <w:t>Project governance decision.</w:t>
            </w:r>
          </w:p>
        </w:tc>
      </w:tr>
      <w:tr>
        <w:trPr>
          <w:cantSplit/>
        </w:trPr>
        <w:tc>
          <w:tcPr>
            <w:tcW w:type="dxa" w:w="3096"/>
            <w:vAlign w:val="center"/>
            <w:tcMar>
              <w:top w:w="70" w:type="dxa"/>
              <w:bottom w:w="70" w:type="dxa"/>
              <w:start w:w="80" w:type="dxa"/>
              <w:end w:w="80" w:type="dxa"/>
            </w:tcMar>
          </w:tcPr>
          <w:p>
            <w:pPr>
              <w:pStyle w:val="TableText"/>
            </w:pPr>
            <w:r/>
            <w:r>
              <w:rPr>
                <w:b w:val="0"/>
              </w:rPr>
              <w:t>Ultrasound is record-only, not AI image interpretation</w:t>
            </w:r>
          </w:p>
        </w:tc>
        <w:tc>
          <w:tcPr>
            <w:tcW w:type="dxa" w:w="4392"/>
            <w:vAlign w:val="center"/>
            <w:tcMar>
              <w:top w:w="70" w:type="dxa"/>
              <w:bottom w:w="70" w:type="dxa"/>
              <w:start w:w="80" w:type="dxa"/>
              <w:end w:w="80" w:type="dxa"/>
            </w:tcMar>
          </w:tcPr>
          <w:p>
            <w:pPr>
              <w:pStyle w:val="TableText"/>
            </w:pPr>
            <w:r/>
            <w:r>
              <w:rPr>
                <w:b w:val="0"/>
              </w:rPr>
              <w:t>Implemented architecture and intended-use boundary.</w:t>
            </w:r>
          </w:p>
        </w:tc>
        <w:tc>
          <w:tcPr>
            <w:tcW w:type="dxa" w:w="3240"/>
            <w:vAlign w:val="center"/>
            <w:tcMar>
              <w:top w:w="70" w:type="dxa"/>
              <w:bottom w:w="70" w:type="dxa"/>
              <w:start w:w="80" w:type="dxa"/>
              <w:end w:w="80" w:type="dxa"/>
            </w:tcMar>
          </w:tcPr>
          <w:p>
            <w:pPr>
              <w:pStyle w:val="TableText"/>
            </w:pPr>
            <w:r/>
            <w:r>
              <w:rPr>
                <w:b w:val="0"/>
              </w:rPr>
              <w:t>Project safety boundary.</w:t>
            </w:r>
          </w:p>
        </w:tc>
      </w:tr>
      <w:tr>
        <w:trPr>
          <w:cantSplit/>
        </w:trPr>
        <w:tc>
          <w:tcPr>
            <w:tcW w:type="dxa" w:w="3096"/>
            <w:vAlign w:val="center"/>
            <w:tcMar>
              <w:top w:w="70" w:type="dxa"/>
              <w:bottom w:w="70" w:type="dxa"/>
              <w:start w:w="80" w:type="dxa"/>
              <w:end w:w="80" w:type="dxa"/>
            </w:tcMar>
            <w:shd w:fill="EDF4FA"/>
          </w:tcPr>
          <w:p>
            <w:pPr>
              <w:pStyle w:val="TableText"/>
            </w:pPr>
            <w:r/>
            <w:r>
              <w:rPr>
                <w:b w:val="0"/>
              </w:rPr>
              <w:t>Missing ultrasound prevents LOW</w:t>
            </w:r>
          </w:p>
        </w:tc>
        <w:tc>
          <w:tcPr>
            <w:tcW w:type="dxa" w:w="4392"/>
            <w:vAlign w:val="center"/>
            <w:tcMar>
              <w:top w:w="70" w:type="dxa"/>
              <w:bottom w:w="70" w:type="dxa"/>
              <w:start w:w="80" w:type="dxa"/>
              <w:end w:w="80" w:type="dxa"/>
            </w:tcMar>
            <w:shd w:fill="EDF4FA"/>
          </w:tcPr>
          <w:p>
            <w:pPr>
              <w:pStyle w:val="TableText"/>
            </w:pPr>
            <w:r/>
            <w:r>
              <w:rPr>
                <w:b w:val="0"/>
              </w:rPr>
              <w:t>Workflow completeness and false-negative prevention.</w:t>
            </w:r>
          </w:p>
        </w:tc>
        <w:tc>
          <w:tcPr>
            <w:tcW w:type="dxa" w:w="3240"/>
            <w:vAlign w:val="center"/>
            <w:tcMar>
              <w:top w:w="70" w:type="dxa"/>
              <w:bottom w:w="70" w:type="dxa"/>
              <w:start w:w="80" w:type="dxa"/>
              <w:end w:w="80" w:type="dxa"/>
            </w:tcMar>
            <w:shd w:fill="EDF4FA"/>
          </w:tcPr>
          <w:p>
            <w:pPr>
              <w:pStyle w:val="TableText"/>
            </w:pPr>
            <w:r/>
            <w:r>
              <w:rPr>
                <w:b w:val="0"/>
              </w:rPr>
              <w:t>Project safety control.</w:t>
            </w:r>
          </w:p>
        </w:tc>
      </w:tr>
    </w:tbl>
    <w:p>
      <w:pPr>
        <w:spacing w:after="20"/>
      </w:pPr>
    </w:p>
    <w:p>
      <w:pPr>
        <w:pStyle w:val="Heading1"/>
        <w:spacing w:after="30" w:line="240" w:lineRule="auto"/>
      </w:pPr>
      <w:r>
        <w:t>Appendix B. Recommended Data Model for Future Versions</w:t>
      </w:r>
    </w:p>
    <w:p>
      <w:pPr>
        <w:pStyle w:val="ListBullet"/>
        <w:spacing w:after="30" w:line="240" w:lineRule="auto"/>
      </w:pPr>
      <w:r>
        <w:rPr>
          <w:sz w:val="16"/>
        </w:rPr>
        <w:t>Ultrasound examination date, gestational age, facility, examiner/reporting professional, report identifier, and attached report.</w:t>
      </w:r>
    </w:p>
    <w:p>
      <w:pPr>
        <w:pStyle w:val="ListBullet"/>
        <w:spacing w:after="30" w:line="240" w:lineRule="auto"/>
      </w:pPr>
      <w:r>
        <w:rPr>
          <w:sz w:val="16"/>
        </w:rPr>
        <w:t>Presentation with options cephalic, breech subtype, transverse, oblique/unstable, compound, uncertain, and not assessed.</w:t>
      </w:r>
    </w:p>
    <w:p>
      <w:pPr>
        <w:pStyle w:val="ListBullet"/>
        <w:spacing w:after="30" w:line="240" w:lineRule="auto"/>
      </w:pPr>
      <w:r>
        <w:rPr>
          <w:sz w:val="16"/>
        </w:rPr>
        <w:t>Amniotic-fluid method, numeric AFI or single deepest pocket, unit, category, and report impression.</w:t>
      </w:r>
    </w:p>
    <w:p>
      <w:pPr>
        <w:pStyle w:val="ListBullet"/>
        <w:spacing w:after="30" w:line="240" w:lineRule="auto"/>
      </w:pPr>
      <w:r>
        <w:rPr>
          <w:sz w:val="16"/>
        </w:rPr>
        <w:t>Cardiac activity visualized/not visualized, measured heart rate, rhythm comment, scan route, and recommendation for confirmation.</w:t>
      </w:r>
    </w:p>
    <w:p>
      <w:pPr>
        <w:pStyle w:val="ListBullet"/>
        <w:spacing w:after="30" w:line="240" w:lineRule="auto"/>
      </w:pPr>
      <w:r>
        <w:rPr>
          <w:sz w:val="16"/>
        </w:rPr>
        <w:t>Singleton or multiple pregnancy and fetus-specific linkage.</w:t>
      </w:r>
    </w:p>
    <w:p>
      <w:pPr>
        <w:pStyle w:val="ListBullet"/>
        <w:spacing w:after="30" w:line="240" w:lineRule="auto"/>
      </w:pPr>
      <w:r>
        <w:rPr>
          <w:sz w:val="16"/>
        </w:rPr>
        <w:t>Placental location, fetal growth/biometry summary, anomalies, and Doppler findings when clinically governed.</w:t>
      </w:r>
    </w:p>
    <w:p>
      <w:pPr>
        <w:pStyle w:val="ListBullet"/>
        <w:spacing w:after="30" w:line="240" w:lineRule="auto"/>
      </w:pPr>
      <w:r>
        <w:rPr>
          <w:sz w:val="16"/>
        </w:rPr>
        <w:t>Report status: preliminary, final, corrected, superseded, or awaiting confirmation.</w:t>
      </w:r>
    </w:p>
    <w:p>
      <w:pPr>
        <w:pStyle w:val="ListBullet"/>
        <w:spacing w:after="30" w:line="240" w:lineRule="auto"/>
      </w:pPr>
      <w:r>
        <w:rPr>
          <w:sz w:val="16"/>
        </w:rPr>
        <w:t>Referral urgency, receiving facility, appointment/transfer status, and clinician plan.</w:t>
      </w:r>
    </w:p>
    <w:tbl>
      <w:tblPr>
        <w:tblW w:type="auto" w:w="0"/>
        <w:tblLook w:firstColumn="1" w:firstRow="1" w:lastColumn="0" w:lastRow="0" w:noHBand="0" w:noVBand="1" w:val="04A0"/>
      </w:tblPr>
      <w:tblGrid>
        <w:gridCol w:w="10080"/>
      </w:tblGrid>
      <w:tr>
        <w:tc>
          <w:tcPr>
            <w:tcW w:type="dxa" w:w="10080"/>
            <w:shd w:fill="FFF2CC"/>
            <w:tcBorders>
              <w:top w:val="single" w:sz="8" w:color="BF9000"/>
              <w:left w:val="single" w:sz="8" w:color="BF9000"/>
              <w:bottom w:val="single" w:sz="8" w:color="BF9000"/>
              <w:right w:val="single" w:sz="8" w:color="BF9000"/>
            </w:tcBorders>
            <w:tcMar>
              <w:top w:w="110" w:type="dxa"/>
              <w:bottom w:w="110" w:type="dxa"/>
              <w:start w:w="120" w:type="dxa"/>
              <w:end w:w="120" w:type="dxa"/>
            </w:tcMar>
          </w:tcPr>
          <w:p>
            <w:pPr>
              <w:pStyle w:val="Callout"/>
            </w:pPr>
            <w:r/>
            <w:r>
              <w:rPr>
                <w:b/>
                <w:color w:val="BF9000"/>
              </w:rPr>
              <w:t>Future-development warning</w:t>
              <w:br/>
            </w:r>
            <w:r>
              <w:t>Structured data improve traceability but do not authorize autonomous ultrasound diagnosis. Image analysis or diagnostic classification would transform the risk and regulatory profile of the system and would require specialist datasets, performance validation, bias evaluation, human-factors testing, cybersecurity controls, and formal clinical oversight.</w:t>
            </w:r>
          </w:p>
        </w:tc>
      </w:tr>
    </w:tbl>
    <w:p>
      <w:pPr>
        <w:spacing w:after="30" w:line="240" w:lineRule="auto"/>
      </w:pP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5"/>
      </w:rPr>
      <w:t>Part 7 - Ultrasound Findings | Evidence specification for an explainable CDSS</w:t>
    </w:r>
  </w:p>
  <w:p>
    <w:pPr>
      <w:jc w:val="center"/>
    </w:pPr>
    <w:r>
      <w:rPr>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5"/>
      </w:rPr>
      <w:t>DOCUMENT 4 | CLINICAL EVIDENCE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rial" w:hAnsi="Arial"/>
      <w:b/>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40" w:line="240" w:lineRule="auto"/>
    </w:pPr>
    <w:rPr>
      <w:rFonts w:ascii="Arial" w:hAnsi="Arial"/>
      <w:b w:val="0"/>
      <w:color w:val="1F1F1F"/>
      <w:sz w:val="19"/>
    </w:rPr>
  </w:style>
  <w:style w:type="paragraph" w:customStyle="1" w:styleId="TableText">
    <w:name w:val="Table Text"/>
    <w:pPr>
      <w:spacing w:after="40" w:line="240" w:lineRule="auto"/>
    </w:pPr>
    <w:rPr>
      <w:rFonts w:ascii="Arial" w:hAnsi="Arial"/>
      <w:b w:val="0"/>
      <w:color w:val="1F1F1F"/>
      <w:sz w:val="15"/>
    </w:rPr>
  </w:style>
  <w:style w:type="paragraph" w:customStyle="1" w:styleId="TableHeader">
    <w:name w:val="Table Header"/>
    <w:pPr>
      <w:spacing w:after="40" w:line="240" w:lineRule="auto"/>
    </w:pPr>
    <w:rPr>
      <w:rFonts w:ascii="Arial" w:hAnsi="Arial"/>
      <w:b/>
      <w:color w:val="FFFFFF"/>
      <w:sz w:val="15"/>
    </w:rPr>
  </w:style>
  <w:style w:type="paragraph" w:customStyle="1" w:styleId="Reference">
    <w:name w:val="Reference"/>
    <w:pPr>
      <w:spacing w:after="40" w:line="240" w:lineRule="auto"/>
    </w:pPr>
    <w:rPr>
      <w:rFonts w:ascii="Arial" w:hAnsi="Arial"/>
      <w:b w:val="0"/>
      <w:color w:val="1F1F1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suog.org/resource/isuog-practice-guidelines-performance-of-third-trimester-obstetric.html" TargetMode="External"/><Relationship Id="rId12" Type="http://schemas.openxmlformats.org/officeDocument/2006/relationships/hyperlink" Target="https://www.isuog.org/resource/isuog-practice-guidelines-updated-performance-of-the-routine-mid-trimester-fetal-ultrasound-scan.html" TargetMode="External"/><Relationship Id="rId13" Type="http://schemas.openxmlformats.org/officeDocument/2006/relationships/hyperlink" Target="https://www.who.int/publications/i/item/9789240046009" TargetMode="External"/><Relationship Id="rId14" Type="http://schemas.openxmlformats.org/officeDocument/2006/relationships/hyperlink" Target="https://www.who.int/publications/i/item/9789241549912/" TargetMode="External"/><Relationship Id="rId15" Type="http://schemas.openxmlformats.org/officeDocument/2006/relationships/hyperlink" Target="https://www.acog.org/womens-health/faqs/if-your-baby-is-breech" TargetMode="External"/><Relationship Id="rId16" Type="http://schemas.openxmlformats.org/officeDocument/2006/relationships/hyperlink" Target="https://www.acog.org/clinical/clinical-guidance/committee-opinion/articles/2018/08/mode-of-term-singleton-breech-delivery" TargetMode="External"/><Relationship Id="rId17" Type="http://schemas.openxmlformats.org/officeDocument/2006/relationships/hyperlink" Target="https://www.acog.org/clinical/clinical-guidance/committee-opinion/articles/2021/06/indications-for-outpatient-antenatal-fetal-surveillance" TargetMode="External"/><Relationship Id="rId18" Type="http://schemas.openxmlformats.org/officeDocument/2006/relationships/hyperlink" Target="https://www.nice.org.uk/guidance/NG126/chapter/diagnosis-of-viable-intrauterine-pregnancy-and-of-tubal-ectopic-pregnancy" TargetMode="External"/><Relationship Id="rId19" Type="http://schemas.openxmlformats.org/officeDocument/2006/relationships/hyperlink" Target="https://www.nice.org.uk/guidance/qs69/chapter/quality-statement-3-confirming-a-diagnosis-of-miscarriage" TargetMode="External"/><Relationship Id="rId20" Type="http://schemas.openxmlformats.org/officeDocument/2006/relationships/hyperlink" Target="https://www.acog.org/clinical/clinical-guidance/clinical-practice-guideline/articles/2025/10/intrapartum-fetal-heart-rate-monitoring-interpretation-and-management" TargetMode="External"/><Relationship Id="rId21" Type="http://schemas.openxmlformats.org/officeDocument/2006/relationships/hyperlink" Target="https://elibrary.judiciary.gov.ph/thebookshelf/showdocs/10/52132" TargetMode="External"/><Relationship Id="rId22" Type="http://schemas.openxmlformats.org/officeDocument/2006/relationships/hyperlink" Target="https://www.philhealth.gov.ph/news/2016/pregnancy_benefi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4 Part 7 - Ultrasound Findings</dc:title>
  <dc:subject>Clinical evidence specification for an explainable maternity CDSS</dc:subject>
  <dc:creator>Capstone Research Team</dc:creator>
  <cp:keywords>CDSS, obstetric ultrasound, breech, amniotic fluid, fetal cardiac activity, explainability</cp:keywords>
  <dc:description>generated by python-docx</dc:description>
  <cp:lastModifiedBy/>
  <cp:revision>1</cp:revision>
  <dcterms:created xsi:type="dcterms:W3CDTF">2013-12-23T23:15:00Z</dcterms:created>
  <dcterms:modified xsi:type="dcterms:W3CDTF">2013-12-23T23:15:00Z</dcterms:modified>
  <cp:category/>
</cp:coreProperties>
</file>