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2F75B5"/>
          <w:sz w:val="26"/>
        </w:rPr>
        <w:t>DOCUMENT 5</w:t>
      </w:r>
    </w:p>
    <w:p>
      <w:pPr>
        <w:pStyle w:val="Title"/>
        <w:jc w:val="center"/>
      </w:pPr>
      <w:r>
        <w:t>Risk Index Framework</w:t>
      </w:r>
    </w:p>
    <w:p>
      <w:pPr>
        <w:jc w:val="center"/>
      </w:pPr>
      <w:r>
        <w:rPr>
          <w:b/>
          <w:color w:val="17365D"/>
          <w:sz w:val="36"/>
        </w:rPr>
        <w:t>PART 1</w:t>
      </w:r>
    </w:p>
    <w:p>
      <w:pPr>
        <w:pStyle w:val="Title"/>
        <w:jc w:val="center"/>
      </w:pPr>
      <w:r>
        <w:t>Risk Framework Philosophy</w:t>
      </w:r>
    </w:p>
    <w:p>
      <w:pPr>
        <w:pStyle w:val="Subtitle"/>
        <w:jc w:val="center"/>
      </w:pPr>
      <w:r>
        <w:t>Safety-First Hybrid Decision Support, Non-Scoring Risk Logic,</w:t>
        <w:br/>
        <w:t>Human Oversight, Evidence Translation, and Philippine Lying-in Context</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5" w:type="dxa"/>
              <w:bottom w:w="95" w:type="dxa"/>
              <w:start w:w="105" w:type="dxa"/>
              <w:end w:w="105" w:type="dxa"/>
            </w:tcMar>
          </w:tcPr>
          <w:p>
            <w:pPr>
              <w:pStyle w:val="Callout"/>
            </w:pPr>
            <w:r/>
            <w:r>
              <w:rPr>
                <w:b/>
                <w:color w:val="7030A0"/>
              </w:rPr>
              <w:t>Purpose of this chapter</w:t>
              <w:br/>
            </w:r>
            <w:r>
              <w:t>Part 1 defines the governing philosophy of the Risk Index Framework. It explains why the project uses a hybrid rule-and-machine-learning approach, why the framework is not a numerical obstetric risk score, how uncertainty and missing information are handled, and why referral, explainability, and human oversight are treated as core safety functions rather than optional system features.</w:t>
            </w:r>
          </w:p>
        </w:tc>
      </w:tr>
    </w:tbl>
    <w:p>
      <w:pPr>
        <w:spacing w:after="20"/>
      </w:pPr>
    </w:p>
    <w:p>
      <w:pPr>
        <w:spacing w:before="40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Foundational framework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Important clinical boundary</w:t>
              <w:br/>
            </w:r>
            <w:r>
              <w:t>The Risk Index Framework is a decision-support framework, not a diagnostic scale and not a substitute for clinical judgment. HIGH, LOW, and ASSESSMENT INCOMPLETE are system states used to organize review, referral, and follow-up. They do not represent a confirmed diagnosis, a quantified probability of maternal or fetal harm, a legal determination of eligibility for lying-in delivery, or an autonomous treatment decision.</w:t>
            </w:r>
          </w:p>
        </w:tc>
      </w:tr>
    </w:tbl>
    <w:p>
      <w:pPr>
        <w:spacing w:after="20"/>
      </w:pPr>
    </w:p>
    <w:p>
      <w:pPr>
        <w:pStyle w:val="Heading1"/>
      </w:pPr>
      <w:r>
        <w:t>Executive Summary</w:t>
      </w:r>
    </w:p>
    <w:p>
      <w:r>
        <w:t>The Risk Index Framework provides the conceptual architecture that connects the clinical evidence in Document 4 with the operational decision logic of the maternity system. Its purpose is to create a consistent, explainable, and safety-oriented method for transforming verified patient information into one of three final assessment states: HIGH, LOW, or ASSESSMENT INCOMPLETE.</w:t>
      </w:r>
    </w:p>
    <w:p>
      <w:r>
        <w:t>The framework follows a hybrid design. Deterministic clinical rules protect known safety conditions that should not be hidden by a statistical model. A Random Forest model provides a secondary data-driven assessment when complete records are available. Rules and ML are not averaged, added, or converted into a composite number. A verified deterministic HIGH factor takes precedence over a LOW or invalid model output, while LOW is permitted only when the required records are complete, no deterministic HIGH factor is active, and the model output is valid LOW.</w:t>
      </w:r>
    </w:p>
    <w:p>
      <w:r>
        <w:t>WHO SMART Guidelines support transparent translation of narrative recommendations into workflows, core data elements, and machine-readable decision-support logic with clearly identified inputs and outputs. WHO also emphasizes that digital health interventions do not replace functioning health systems. NICE requires evidence proportional to the potential risk of a digital health technology. FDA's 2026 CDS guidance emphasizes that a healthcare professional should be able to independently review the basis of a recommendation where the software is intended to remain non-autonomous professional support.</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Core philosophical position</w:t>
              <w:br/>
            </w:r>
            <w:r>
              <w:t>The framework is intentionally conservative: verified clinical concern is never cancelled by a reassuring ML output, missing information is never treated as normal, and a digital recommendation is never treated as completed care until the human referral and follow-up process is documented.</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vAlign w:val="center"/>
            <w:tcMar>
              <w:top w:w="54" w:type="dxa"/>
              <w:bottom w:w="54" w:type="dxa"/>
              <w:start w:w="64" w:type="dxa"/>
              <w:end w:w="64" w:type="dxa"/>
            </w:tcMar>
            <w:shd w:fill="17365D"/>
          </w:tcPr>
          <w:p>
            <w:pPr>
              <w:pStyle w:val="TableHeader"/>
            </w:pPr>
            <w:r/>
            <w:r>
              <w:rPr>
                <w:b/>
                <w:color w:val="FFFFFF"/>
              </w:rPr>
              <w:t>In scope</w:t>
            </w:r>
          </w:p>
        </w:tc>
        <w:tc>
          <w:tcPr>
            <w:tcW w:type="dxa" w:w="4968"/>
            <w:vAlign w:val="center"/>
            <w:tcMar>
              <w:top w:w="54" w:type="dxa"/>
              <w:bottom w:w="54" w:type="dxa"/>
              <w:start w:w="64" w:type="dxa"/>
              <w:end w:w="64" w:type="dxa"/>
            </w:tcMar>
            <w:shd w:fill="17365D"/>
          </w:tcPr>
          <w:p>
            <w:pPr>
              <w:pStyle w:val="TableHeader"/>
            </w:pPr>
            <w:r/>
            <w:r>
              <w:rPr>
                <w:b/>
                <w:color w:val="FFFFFF"/>
              </w:rPr>
              <w:t>Outside scope</w:t>
            </w:r>
          </w:p>
        </w:tc>
      </w:tr>
      <w:tr>
        <w:trPr>
          <w:cantSplit/>
        </w:trPr>
        <w:tc>
          <w:tcPr>
            <w:tcW w:type="dxa" w:w="4968"/>
            <w:vAlign w:val="center"/>
            <w:tcMar>
              <w:top w:w="54" w:type="dxa"/>
              <w:bottom w:w="54" w:type="dxa"/>
              <w:start w:w="64" w:type="dxa"/>
              <w:end w:w="64" w:type="dxa"/>
            </w:tcMar>
          </w:tcPr>
          <w:p>
            <w:pPr>
              <w:pStyle w:val="TableText"/>
            </w:pPr>
            <w:r/>
            <w:r>
              <w:rPr>
                <w:b w:val="0"/>
              </w:rPr>
              <w:t>Defining the principles that govern risk classification, precedence, uncertainty, referral, and explanation.</w:t>
            </w:r>
          </w:p>
        </w:tc>
        <w:tc>
          <w:tcPr>
            <w:tcW w:type="dxa" w:w="4968"/>
            <w:vAlign w:val="center"/>
            <w:tcMar>
              <w:top w:w="54" w:type="dxa"/>
              <w:bottom w:w="54" w:type="dxa"/>
              <w:start w:w="64" w:type="dxa"/>
              <w:end w:w="64" w:type="dxa"/>
            </w:tcMar>
          </w:tcPr>
          <w:p>
            <w:pPr>
              <w:pStyle w:val="TableText"/>
            </w:pPr>
            <w:r/>
            <w:r>
              <w:rPr>
                <w:b w:val="0"/>
              </w:rPr>
              <w:t>Creating a universal obstetric risk score or predicting an exact probability of complication.</w:t>
            </w:r>
          </w:p>
        </w:tc>
      </w:tr>
      <w:tr>
        <w:trPr>
          <w:cantSplit/>
        </w:trPr>
        <w:tc>
          <w:tcPr>
            <w:tcW w:type="dxa" w:w="4968"/>
            <w:vAlign w:val="center"/>
            <w:tcMar>
              <w:top w:w="54" w:type="dxa"/>
              <w:bottom w:w="54" w:type="dxa"/>
              <w:start w:w="64" w:type="dxa"/>
              <w:end w:w="64" w:type="dxa"/>
            </w:tcMar>
            <w:shd w:fill="EDF4FA"/>
          </w:tcPr>
          <w:p>
            <w:pPr>
              <w:pStyle w:val="TableText"/>
            </w:pPr>
            <w:r/>
            <w:r>
              <w:rPr>
                <w:b w:val="0"/>
              </w:rPr>
              <w:t>Explaining why deterministic clinical rules and Random Forest inference are combined.</w:t>
            </w:r>
          </w:p>
        </w:tc>
        <w:tc>
          <w:tcPr>
            <w:tcW w:type="dxa" w:w="4968"/>
            <w:vAlign w:val="center"/>
            <w:tcMar>
              <w:top w:w="54" w:type="dxa"/>
              <w:bottom w:w="54" w:type="dxa"/>
              <w:start w:w="64" w:type="dxa"/>
              <w:end w:w="64" w:type="dxa"/>
            </w:tcMar>
            <w:shd w:fill="EDF4FA"/>
          </w:tcPr>
          <w:p>
            <w:pPr>
              <w:pStyle w:val="TableText"/>
            </w:pPr>
            <w:r/>
            <w:r>
              <w:rPr>
                <w:b w:val="0"/>
              </w:rPr>
              <w:t>Allowing ML to overrule explicit clinical safety rules.</w:t>
            </w:r>
          </w:p>
        </w:tc>
      </w:tr>
      <w:tr>
        <w:trPr>
          <w:cantSplit/>
        </w:trPr>
        <w:tc>
          <w:tcPr>
            <w:tcW w:type="dxa" w:w="4968"/>
            <w:vAlign w:val="center"/>
            <w:tcMar>
              <w:top w:w="54" w:type="dxa"/>
              <w:bottom w:w="54" w:type="dxa"/>
              <w:start w:w="64" w:type="dxa"/>
              <w:end w:w="64" w:type="dxa"/>
            </w:tcMar>
          </w:tcPr>
          <w:p>
            <w:pPr>
              <w:pStyle w:val="TableText"/>
            </w:pPr>
            <w:r/>
            <w:r>
              <w:rPr>
                <w:b w:val="0"/>
              </w:rPr>
              <w:t>Defining how missing, stale, contradictory, or invalid information affects assessment.</w:t>
            </w:r>
          </w:p>
        </w:tc>
        <w:tc>
          <w:tcPr>
            <w:tcW w:type="dxa" w:w="4968"/>
            <w:vAlign w:val="center"/>
            <w:tcMar>
              <w:top w:w="54" w:type="dxa"/>
              <w:bottom w:w="54" w:type="dxa"/>
              <w:start w:w="64" w:type="dxa"/>
              <w:end w:w="64" w:type="dxa"/>
            </w:tcMar>
          </w:tcPr>
          <w:p>
            <w:pPr>
              <w:pStyle w:val="TableText"/>
            </w:pPr>
            <w:r/>
            <w:r>
              <w:rPr>
                <w:b w:val="0"/>
              </w:rPr>
              <w:t>Assuming that a blank or missing record means normal.</w:t>
            </w:r>
          </w:p>
        </w:tc>
      </w:tr>
      <w:tr>
        <w:trPr>
          <w:cantSplit/>
        </w:trPr>
        <w:tc>
          <w:tcPr>
            <w:tcW w:type="dxa" w:w="4968"/>
            <w:vAlign w:val="center"/>
            <w:tcMar>
              <w:top w:w="54" w:type="dxa"/>
              <w:bottom w:w="54" w:type="dxa"/>
              <w:start w:w="64" w:type="dxa"/>
              <w:end w:w="64" w:type="dxa"/>
            </w:tcMar>
            <w:shd w:fill="EDF4FA"/>
          </w:tcPr>
          <w:p>
            <w:pPr>
              <w:pStyle w:val="TableText"/>
            </w:pPr>
            <w:r/>
            <w:r>
              <w:rPr>
                <w:b w:val="0"/>
              </w:rPr>
              <w:t>Connecting risk output to review, referral, follow-up, and audit.</w:t>
            </w:r>
          </w:p>
        </w:tc>
        <w:tc>
          <w:tcPr>
            <w:tcW w:type="dxa" w:w="4968"/>
            <w:vAlign w:val="center"/>
            <w:tcMar>
              <w:top w:w="54" w:type="dxa"/>
              <w:bottom w:w="54" w:type="dxa"/>
              <w:start w:w="64" w:type="dxa"/>
              <w:end w:w="64" w:type="dxa"/>
            </w:tcMar>
            <w:shd w:fill="EDF4FA"/>
          </w:tcPr>
          <w:p>
            <w:pPr>
              <w:pStyle w:val="TableText"/>
            </w:pPr>
            <w:r/>
            <w:r>
              <w:rPr>
                <w:b w:val="0"/>
              </w:rPr>
              <w:t>Prescribing medication, determining delivery mode, or diagnosing a specific disease.</w:t>
            </w:r>
          </w:p>
        </w:tc>
      </w:tr>
      <w:tr>
        <w:trPr>
          <w:cantSplit/>
        </w:trPr>
        <w:tc>
          <w:tcPr>
            <w:tcW w:type="dxa" w:w="4968"/>
            <w:vAlign w:val="center"/>
            <w:tcMar>
              <w:top w:w="54" w:type="dxa"/>
              <w:bottom w:w="54" w:type="dxa"/>
              <w:start w:w="64" w:type="dxa"/>
              <w:end w:w="64" w:type="dxa"/>
            </w:tcMar>
          </w:tcPr>
          <w:p>
            <w:pPr>
              <w:pStyle w:val="TableText"/>
            </w:pPr>
            <w:r/>
            <w:r>
              <w:rPr>
                <w:b w:val="0"/>
              </w:rPr>
              <w:t>Defining safe system behavior for a limited-capability Philippine lying-in clinic.</w:t>
            </w:r>
          </w:p>
        </w:tc>
        <w:tc>
          <w:tcPr>
            <w:tcW w:type="dxa" w:w="4968"/>
            <w:vAlign w:val="center"/>
            <w:tcMar>
              <w:top w:w="54" w:type="dxa"/>
              <w:bottom w:w="54" w:type="dxa"/>
              <w:start w:w="64" w:type="dxa"/>
              <w:end w:w="64" w:type="dxa"/>
            </w:tcMar>
          </w:tcPr>
          <w:p>
            <w:pPr>
              <w:pStyle w:val="TableText"/>
            </w:pPr>
            <w:r/>
            <w:r>
              <w:rPr>
                <w:b w:val="0"/>
              </w:rPr>
              <w:t>Claiming that software can compensate for absent hospital capability, transport, or professional care.</w:t>
            </w:r>
          </w:p>
        </w:tc>
      </w:tr>
    </w:tbl>
    <w:p>
      <w:pPr>
        <w:spacing w:after="20"/>
      </w:pPr>
    </w:p>
    <w:p>
      <w:pPr>
        <w:pStyle w:val="Heading1"/>
      </w:pPr>
      <w:r>
        <w:t>2. Conceptual Definition of Risk</w:t>
      </w:r>
    </w:p>
    <w:p>
      <w:r>
        <w:t>In this project, risk is not defined as a single mathematical probability. It is an actionable clinical-support state derived from the presence or absence of verified safety factors, the completeness of required information, and the validated machine-learning result. The framework therefore distinguishes between clinical concern, urgency, uncertainty, and care capability.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4" w:type="dxa"/>
              <w:bottom w:w="54" w:type="dxa"/>
              <w:start w:w="64" w:type="dxa"/>
              <w:end w:w="64" w:type="dxa"/>
            </w:tcMar>
            <w:shd w:fill="17365D"/>
          </w:tcPr>
          <w:p>
            <w:pPr>
              <w:pStyle w:val="TableHeader"/>
            </w:pPr>
            <w:r/>
            <w:r>
              <w:rPr>
                <w:b/>
                <w:color w:val="FFFFFF"/>
              </w:rPr>
              <w:t>Concept</w:t>
            </w:r>
          </w:p>
        </w:tc>
        <w:tc>
          <w:tcPr>
            <w:tcW w:type="dxa" w:w="8280"/>
            <w:vAlign w:val="center"/>
            <w:tcMar>
              <w:top w:w="54" w:type="dxa"/>
              <w:bottom w:w="54" w:type="dxa"/>
              <w:start w:w="64" w:type="dxa"/>
              <w:end w:w="64" w:type="dxa"/>
            </w:tcMar>
            <w:shd w:fill="17365D"/>
          </w:tcPr>
          <w:p>
            <w:pPr>
              <w:pStyle w:val="TableHeader"/>
            </w:pPr>
            <w:r/>
            <w:r>
              <w:rPr>
                <w:b/>
                <w:color w:val="FFFFFF"/>
              </w:rPr>
              <w:t>Meaning in the framework</w:t>
            </w:r>
          </w:p>
        </w:tc>
      </w:tr>
      <w:tr>
        <w:trPr>
          <w:cantSplit/>
        </w:trPr>
        <w:tc>
          <w:tcPr>
            <w:tcW w:type="dxa" w:w="2232"/>
            <w:vAlign w:val="center"/>
            <w:tcMar>
              <w:top w:w="54" w:type="dxa"/>
              <w:bottom w:w="54" w:type="dxa"/>
              <w:start w:w="64" w:type="dxa"/>
              <w:end w:w="64" w:type="dxa"/>
            </w:tcMar>
          </w:tcPr>
          <w:p>
            <w:pPr>
              <w:pStyle w:val="TableText"/>
            </w:pPr>
            <w:r/>
            <w:r>
              <w:rPr>
                <w:b w:val="0"/>
              </w:rPr>
              <w:t>Clinical concern</w:t>
            </w:r>
          </w:p>
        </w:tc>
        <w:tc>
          <w:tcPr>
            <w:tcW w:type="dxa" w:w="8280"/>
            <w:vAlign w:val="center"/>
            <w:tcMar>
              <w:top w:w="54" w:type="dxa"/>
              <w:bottom w:w="54" w:type="dxa"/>
              <w:start w:w="64" w:type="dxa"/>
              <w:end w:w="64" w:type="dxa"/>
            </w:tcMar>
          </w:tcPr>
          <w:p>
            <w:pPr>
              <w:pStyle w:val="TableText"/>
            </w:pPr>
            <w:r/>
            <w:r>
              <w:rPr>
                <w:b w:val="0"/>
              </w:rPr>
              <w:t>A verified patient factor that requires additional assessment, referral, or higher-level planning.</w:t>
            </w:r>
          </w:p>
        </w:tc>
      </w:tr>
      <w:tr>
        <w:trPr>
          <w:cantSplit/>
        </w:trPr>
        <w:tc>
          <w:tcPr>
            <w:tcW w:type="dxa" w:w="2232"/>
            <w:vAlign w:val="center"/>
            <w:tcMar>
              <w:top w:w="54" w:type="dxa"/>
              <w:bottom w:w="54" w:type="dxa"/>
              <w:start w:w="64" w:type="dxa"/>
              <w:end w:w="64" w:type="dxa"/>
            </w:tcMar>
            <w:shd w:fill="EDF4FA"/>
          </w:tcPr>
          <w:p>
            <w:pPr>
              <w:pStyle w:val="TableText"/>
            </w:pPr>
            <w:r/>
            <w:r>
              <w:rPr>
                <w:b w:val="0"/>
              </w:rPr>
              <w:t>Urgency</w:t>
            </w:r>
          </w:p>
        </w:tc>
        <w:tc>
          <w:tcPr>
            <w:tcW w:type="dxa" w:w="8280"/>
            <w:vAlign w:val="center"/>
            <w:tcMar>
              <w:top w:w="54" w:type="dxa"/>
              <w:bottom w:w="54" w:type="dxa"/>
              <w:start w:w="64" w:type="dxa"/>
              <w:end w:w="64" w:type="dxa"/>
            </w:tcMar>
            <w:shd w:fill="EDF4FA"/>
          </w:tcPr>
          <w:p>
            <w:pPr>
              <w:pStyle w:val="TableText"/>
            </w:pPr>
            <w:r/>
            <w:r>
              <w:rPr>
                <w:b w:val="0"/>
              </w:rPr>
              <w:t>How quickly action is required: routine, prompt, urgent, or emergency.</w:t>
            </w:r>
          </w:p>
        </w:tc>
      </w:tr>
      <w:tr>
        <w:trPr>
          <w:cantSplit/>
        </w:trPr>
        <w:tc>
          <w:tcPr>
            <w:tcW w:type="dxa" w:w="2232"/>
            <w:vAlign w:val="center"/>
            <w:tcMar>
              <w:top w:w="54" w:type="dxa"/>
              <w:bottom w:w="54" w:type="dxa"/>
              <w:start w:w="64" w:type="dxa"/>
              <w:end w:w="64" w:type="dxa"/>
            </w:tcMar>
          </w:tcPr>
          <w:p>
            <w:pPr>
              <w:pStyle w:val="TableText"/>
            </w:pPr>
            <w:r/>
            <w:r>
              <w:rPr>
                <w:b w:val="0"/>
              </w:rPr>
              <w:t>Uncertainty</w:t>
            </w:r>
          </w:p>
        </w:tc>
        <w:tc>
          <w:tcPr>
            <w:tcW w:type="dxa" w:w="8280"/>
            <w:vAlign w:val="center"/>
            <w:tcMar>
              <w:top w:w="54" w:type="dxa"/>
              <w:bottom w:w="54" w:type="dxa"/>
              <w:start w:w="64" w:type="dxa"/>
              <w:end w:w="64" w:type="dxa"/>
            </w:tcMar>
          </w:tcPr>
          <w:p>
            <w:pPr>
              <w:pStyle w:val="TableText"/>
            </w:pPr>
            <w:r/>
            <w:r>
              <w:rPr>
                <w:b w:val="0"/>
              </w:rPr>
              <w:t>Missing, invalid, stale, contradictory, or unverified information that limits confidence.</w:t>
            </w:r>
          </w:p>
        </w:tc>
      </w:tr>
      <w:tr>
        <w:trPr>
          <w:cantSplit/>
        </w:trPr>
        <w:tc>
          <w:tcPr>
            <w:tcW w:type="dxa" w:w="2232"/>
            <w:vAlign w:val="center"/>
            <w:tcMar>
              <w:top w:w="54" w:type="dxa"/>
              <w:bottom w:w="54" w:type="dxa"/>
              <w:start w:w="64" w:type="dxa"/>
              <w:end w:w="64" w:type="dxa"/>
            </w:tcMar>
            <w:shd w:fill="EDF4FA"/>
          </w:tcPr>
          <w:p>
            <w:pPr>
              <w:pStyle w:val="TableText"/>
            </w:pPr>
            <w:r/>
            <w:r>
              <w:rPr>
                <w:b w:val="0"/>
              </w:rPr>
              <w:t>Capability mismatch</w:t>
            </w:r>
          </w:p>
        </w:tc>
        <w:tc>
          <w:tcPr>
            <w:tcW w:type="dxa" w:w="8280"/>
            <w:vAlign w:val="center"/>
            <w:tcMar>
              <w:top w:w="54" w:type="dxa"/>
              <w:bottom w:w="54" w:type="dxa"/>
              <w:start w:w="64" w:type="dxa"/>
              <w:end w:w="64" w:type="dxa"/>
            </w:tcMar>
            <w:shd w:fill="EDF4FA"/>
          </w:tcPr>
          <w:p>
            <w:pPr>
              <w:pStyle w:val="TableText"/>
            </w:pPr>
            <w:r/>
            <w:r>
              <w:rPr>
                <w:b w:val="0"/>
              </w:rPr>
              <w:t>A patient's care needs may exceed what a lying-in clinic can safely provide.</w:t>
            </w:r>
          </w:p>
        </w:tc>
      </w:tr>
      <w:tr>
        <w:trPr>
          <w:cantSplit/>
        </w:trPr>
        <w:tc>
          <w:tcPr>
            <w:tcW w:type="dxa" w:w="2232"/>
            <w:vAlign w:val="center"/>
            <w:tcMar>
              <w:top w:w="54" w:type="dxa"/>
              <w:bottom w:w="54" w:type="dxa"/>
              <w:start w:w="64" w:type="dxa"/>
              <w:end w:w="64" w:type="dxa"/>
            </w:tcMar>
          </w:tcPr>
          <w:p>
            <w:pPr>
              <w:pStyle w:val="TableText"/>
            </w:pPr>
            <w:r/>
            <w:r>
              <w:rPr>
                <w:b w:val="0"/>
              </w:rPr>
              <w:t>Assessment state</w:t>
            </w:r>
          </w:p>
        </w:tc>
        <w:tc>
          <w:tcPr>
            <w:tcW w:type="dxa" w:w="8280"/>
            <w:vAlign w:val="center"/>
            <w:tcMar>
              <w:top w:w="54" w:type="dxa"/>
              <w:bottom w:w="54" w:type="dxa"/>
              <w:start w:w="64" w:type="dxa"/>
              <w:end w:w="64" w:type="dxa"/>
            </w:tcMar>
          </w:tcPr>
          <w:p>
            <w:pPr>
              <w:pStyle w:val="TableText"/>
            </w:pPr>
            <w:r/>
            <w:r>
              <w:rPr>
                <w:b w:val="0"/>
              </w:rPr>
              <w:t>HIGH, LOW, or ASSESSMENT INCOMPLETE.</w:t>
            </w:r>
          </w:p>
        </w:tc>
      </w:tr>
      <w:tr>
        <w:trPr>
          <w:cantSplit/>
        </w:trPr>
        <w:tc>
          <w:tcPr>
            <w:tcW w:type="dxa" w:w="2232"/>
            <w:vAlign w:val="center"/>
            <w:tcMar>
              <w:top w:w="54" w:type="dxa"/>
              <w:bottom w:w="54" w:type="dxa"/>
              <w:start w:w="64" w:type="dxa"/>
              <w:end w:w="64" w:type="dxa"/>
            </w:tcMar>
            <w:shd w:fill="EDF4FA"/>
          </w:tcPr>
          <w:p>
            <w:pPr>
              <w:pStyle w:val="TableText"/>
            </w:pPr>
            <w:r/>
            <w:r>
              <w:rPr>
                <w:b w:val="0"/>
              </w:rPr>
              <w:t>Recommendation</w:t>
            </w:r>
          </w:p>
        </w:tc>
        <w:tc>
          <w:tcPr>
            <w:tcW w:type="dxa" w:w="8280"/>
            <w:vAlign w:val="center"/>
            <w:tcMar>
              <w:top w:w="54" w:type="dxa"/>
              <w:bottom w:w="54" w:type="dxa"/>
              <w:start w:w="64" w:type="dxa"/>
              <w:end w:w="64" w:type="dxa"/>
            </w:tcMar>
            <w:shd w:fill="EDF4FA"/>
          </w:tcPr>
          <w:p>
            <w:pPr>
              <w:pStyle w:val="TableText"/>
            </w:pPr>
            <w:r/>
            <w:r>
              <w:rPr>
                <w:b w:val="0"/>
              </w:rPr>
              <w:t>The next action selected from a controlled evidence-based library.</w:t>
            </w:r>
          </w:p>
        </w:tc>
      </w:tr>
      <w:tr>
        <w:trPr>
          <w:cantSplit/>
        </w:trPr>
        <w:tc>
          <w:tcPr>
            <w:tcW w:type="dxa" w:w="2232"/>
            <w:vAlign w:val="center"/>
            <w:tcMar>
              <w:top w:w="54" w:type="dxa"/>
              <w:bottom w:w="54" w:type="dxa"/>
              <w:start w:w="64" w:type="dxa"/>
              <w:end w:w="64" w:type="dxa"/>
            </w:tcMar>
          </w:tcPr>
          <w:p>
            <w:pPr>
              <w:pStyle w:val="TableText"/>
            </w:pPr>
            <w:r/>
            <w:r>
              <w:rPr>
                <w:b w:val="0"/>
              </w:rPr>
              <w:t>Explanation</w:t>
            </w:r>
          </w:p>
        </w:tc>
        <w:tc>
          <w:tcPr>
            <w:tcW w:type="dxa" w:w="8280"/>
            <w:vAlign w:val="center"/>
            <w:tcMar>
              <w:top w:w="54" w:type="dxa"/>
              <w:bottom w:w="54" w:type="dxa"/>
              <w:start w:w="64" w:type="dxa"/>
              <w:end w:w="64" w:type="dxa"/>
            </w:tcMar>
          </w:tcPr>
          <w:p>
            <w:pPr>
              <w:pStyle w:val="TableText"/>
            </w:pPr>
            <w:r/>
            <w:r>
              <w:rPr>
                <w:b w:val="0"/>
              </w:rPr>
              <w:t>The patient-specific basis, limitations, and decision pathway shown to the user.</w:t>
            </w:r>
          </w:p>
        </w:tc>
      </w:tr>
      <w:tr>
        <w:trPr>
          <w:cantSplit/>
        </w:trPr>
        <w:tc>
          <w:tcPr>
            <w:tcW w:type="dxa" w:w="2232"/>
            <w:vAlign w:val="center"/>
            <w:tcMar>
              <w:top w:w="54" w:type="dxa"/>
              <w:bottom w:w="54" w:type="dxa"/>
              <w:start w:w="64" w:type="dxa"/>
              <w:end w:w="64" w:type="dxa"/>
            </w:tcMar>
            <w:shd w:fill="EDF4FA"/>
          </w:tcPr>
          <w:p>
            <w:pPr>
              <w:pStyle w:val="TableText"/>
            </w:pPr>
            <w:r/>
            <w:r>
              <w:rPr>
                <w:b w:val="0"/>
              </w:rPr>
              <w:t>Outcome</w:t>
            </w:r>
          </w:p>
        </w:tc>
        <w:tc>
          <w:tcPr>
            <w:tcW w:type="dxa" w:w="8280"/>
            <w:vAlign w:val="center"/>
            <w:tcMar>
              <w:top w:w="54" w:type="dxa"/>
              <w:bottom w:w="54" w:type="dxa"/>
              <w:start w:w="64" w:type="dxa"/>
              <w:end w:w="64" w:type="dxa"/>
            </w:tcMar>
            <w:shd w:fill="EDF4FA"/>
          </w:tcPr>
          <w:p>
            <w:pPr>
              <w:pStyle w:val="TableText"/>
            </w:pPr>
            <w:r/>
            <w:r>
              <w:rPr>
                <w:b w:val="0"/>
              </w:rPr>
              <w:t>What eventually happens clinically; not equivalent to the system's assessment state.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5" w:type="dxa"/>
              <w:bottom w:w="95" w:type="dxa"/>
              <w:start w:w="105" w:type="dxa"/>
              <w:end w:w="105" w:type="dxa"/>
            </w:tcMar>
          </w:tcPr>
          <w:p>
            <w:pPr>
              <w:pStyle w:val="Callout"/>
            </w:pPr>
            <w:r/>
            <w:r>
              <w:rPr>
                <w:b/>
                <w:color w:val="BF9000"/>
              </w:rPr>
              <w:t>Risk is not destiny</w:t>
              <w:br/>
            </w:r>
            <w:r>
              <w:t>HIGH does not mean that a complication will definitely occur. LOW does not mean that no complication can occur. ASSESSMENT INCOMPLETE does not mean HIGH or LOW; it means the system lacks sufficient verified information to safely rely on a LOW result.</w:t>
            </w:r>
          </w:p>
        </w:tc>
      </w:tr>
    </w:tbl>
    <w:p>
      <w:pPr>
        <w:spacing w:after="20"/>
      </w:pPr>
    </w:p>
    <w:p>
      <w:pPr>
        <w:pStyle w:val="Heading1"/>
      </w:pPr>
      <w:r>
        <w:t>3. Why a Hybrid Framework Is Used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160"/>
            <w:vAlign w:val="center"/>
            <w:tcMar>
              <w:top w:w="54" w:type="dxa"/>
              <w:bottom w:w="54" w:type="dxa"/>
              <w:start w:w="64" w:type="dxa"/>
              <w:end w:w="64" w:type="dxa"/>
            </w:tcMar>
            <w:shd w:fill="17365D"/>
          </w:tcPr>
          <w:p>
            <w:pPr>
              <w:pStyle w:val="TableHeader"/>
            </w:pPr>
            <w:r/>
            <w:r>
              <w:rPr>
                <w:b/>
                <w:color w:val="FFFFFF"/>
              </w:rPr>
              <w:t>Component</w:t>
            </w:r>
          </w:p>
        </w:tc>
        <w:tc>
          <w:tcPr>
            <w:tcW w:type="dxa" w:w="3024"/>
            <w:vAlign w:val="center"/>
            <w:tcMar>
              <w:top w:w="54" w:type="dxa"/>
              <w:bottom w:w="54" w:type="dxa"/>
              <w:start w:w="64" w:type="dxa"/>
              <w:end w:w="64" w:type="dxa"/>
            </w:tcMar>
            <w:shd w:fill="17365D"/>
          </w:tcPr>
          <w:p>
            <w:pPr>
              <w:pStyle w:val="TableHeader"/>
            </w:pPr>
            <w:r/>
            <w:r>
              <w:rPr>
                <w:b/>
                <w:color w:val="FFFFFF"/>
              </w:rPr>
              <w:t>Strength</w:t>
            </w:r>
          </w:p>
        </w:tc>
        <w:tc>
          <w:tcPr>
            <w:tcW w:type="dxa" w:w="3384"/>
            <w:vAlign w:val="center"/>
            <w:tcMar>
              <w:top w:w="54" w:type="dxa"/>
              <w:bottom w:w="54" w:type="dxa"/>
              <w:start w:w="64" w:type="dxa"/>
              <w:end w:w="64" w:type="dxa"/>
            </w:tcMar>
            <w:shd w:fill="17365D"/>
          </w:tcPr>
          <w:p>
            <w:pPr>
              <w:pStyle w:val="TableHeader"/>
            </w:pPr>
            <w:r/>
            <w:r>
              <w:rPr>
                <w:b/>
                <w:color w:val="FFFFFF"/>
              </w:rPr>
              <w:t>Known limitation</w:t>
            </w:r>
          </w:p>
        </w:tc>
        <w:tc>
          <w:tcPr>
            <w:tcW w:type="dxa" w:w="2808"/>
            <w:vAlign w:val="center"/>
            <w:tcMar>
              <w:top w:w="54" w:type="dxa"/>
              <w:bottom w:w="54" w:type="dxa"/>
              <w:start w:w="64" w:type="dxa"/>
              <w:end w:w="64" w:type="dxa"/>
            </w:tcMar>
            <w:shd w:fill="17365D"/>
          </w:tcPr>
          <w:p>
            <w:pPr>
              <w:pStyle w:val="TableHeader"/>
            </w:pPr>
            <w:r/>
            <w:r>
              <w:rPr>
                <w:b/>
                <w:color w:val="FFFFFF"/>
              </w:rPr>
              <w:t>Role in this project</w:t>
            </w:r>
          </w:p>
        </w:tc>
      </w:tr>
      <w:tr>
        <w:trPr>
          <w:cantSplit/>
        </w:trPr>
        <w:tc>
          <w:tcPr>
            <w:tcW w:type="dxa" w:w="2160"/>
            <w:vAlign w:val="center"/>
            <w:tcMar>
              <w:top w:w="54" w:type="dxa"/>
              <w:bottom w:w="54" w:type="dxa"/>
              <w:start w:w="64" w:type="dxa"/>
              <w:end w:w="64" w:type="dxa"/>
            </w:tcMar>
          </w:tcPr>
          <w:p>
            <w:pPr>
              <w:pStyle w:val="TableText"/>
            </w:pPr>
            <w:r/>
            <w:r>
              <w:rPr>
                <w:b w:val="0"/>
              </w:rPr>
              <w:t>Deterministic rules</w:t>
            </w:r>
          </w:p>
        </w:tc>
        <w:tc>
          <w:tcPr>
            <w:tcW w:type="dxa" w:w="3024"/>
            <w:vAlign w:val="center"/>
            <w:tcMar>
              <w:top w:w="54" w:type="dxa"/>
              <w:bottom w:w="54" w:type="dxa"/>
              <w:start w:w="64" w:type="dxa"/>
              <w:end w:w="64" w:type="dxa"/>
            </w:tcMar>
          </w:tcPr>
          <w:p>
            <w:pPr>
              <w:pStyle w:val="TableText"/>
            </w:pPr>
            <w:r/>
            <w:r>
              <w:rPr>
                <w:b w:val="0"/>
              </w:rPr>
              <w:t>Transparent, reproducible, directly traceable to approved thresholds and project safety decisions.</w:t>
            </w:r>
          </w:p>
        </w:tc>
        <w:tc>
          <w:tcPr>
            <w:tcW w:type="dxa" w:w="3384"/>
            <w:vAlign w:val="center"/>
            <w:tcMar>
              <w:top w:w="54" w:type="dxa"/>
              <w:bottom w:w="54" w:type="dxa"/>
              <w:start w:w="64" w:type="dxa"/>
              <w:end w:w="64" w:type="dxa"/>
            </w:tcMar>
          </w:tcPr>
          <w:p>
            <w:pPr>
              <w:pStyle w:val="TableText"/>
            </w:pPr>
            <w:r/>
            <w:r>
              <w:rPr>
                <w:b w:val="0"/>
              </w:rPr>
              <w:t>May be conservative and cannot represent every complex pattern.</w:t>
            </w:r>
          </w:p>
        </w:tc>
        <w:tc>
          <w:tcPr>
            <w:tcW w:type="dxa" w:w="2808"/>
            <w:vAlign w:val="center"/>
            <w:tcMar>
              <w:top w:w="54" w:type="dxa"/>
              <w:bottom w:w="54" w:type="dxa"/>
              <w:start w:w="64" w:type="dxa"/>
              <w:end w:w="64" w:type="dxa"/>
            </w:tcMar>
          </w:tcPr>
          <w:p>
            <w:pPr>
              <w:pStyle w:val="TableText"/>
            </w:pPr>
            <w:r/>
            <w:r>
              <w:rPr>
                <w:b w:val="0"/>
              </w:rPr>
              <w:t>Protect known high-priority clinical factors and establish minimum safety behavior.</w:t>
            </w:r>
          </w:p>
        </w:tc>
      </w:tr>
      <w:tr>
        <w:trPr>
          <w:cantSplit/>
        </w:trPr>
        <w:tc>
          <w:tcPr>
            <w:tcW w:type="dxa" w:w="2160"/>
            <w:vAlign w:val="center"/>
            <w:tcMar>
              <w:top w:w="54" w:type="dxa"/>
              <w:bottom w:w="54" w:type="dxa"/>
              <w:start w:w="64" w:type="dxa"/>
              <w:end w:w="64" w:type="dxa"/>
            </w:tcMar>
            <w:shd w:fill="EDF4FA"/>
          </w:tcPr>
          <w:p>
            <w:pPr>
              <w:pStyle w:val="TableText"/>
            </w:pPr>
            <w:r/>
            <w:r>
              <w:rPr>
                <w:b w:val="0"/>
              </w:rPr>
              <w:t>Random Forest model</w:t>
            </w:r>
          </w:p>
        </w:tc>
        <w:tc>
          <w:tcPr>
            <w:tcW w:type="dxa" w:w="3024"/>
            <w:vAlign w:val="center"/>
            <w:tcMar>
              <w:top w:w="54" w:type="dxa"/>
              <w:bottom w:w="54" w:type="dxa"/>
              <w:start w:w="64" w:type="dxa"/>
              <w:end w:w="64" w:type="dxa"/>
            </w:tcMar>
            <w:shd w:fill="EDF4FA"/>
          </w:tcPr>
          <w:p>
            <w:pPr>
              <w:pStyle w:val="TableText"/>
            </w:pPr>
            <w:r/>
            <w:r>
              <w:rPr>
                <w:b w:val="0"/>
              </w:rPr>
              <w:t>Can learn multivariable patterns and nonlinear relationships from development data.</w:t>
            </w:r>
          </w:p>
        </w:tc>
        <w:tc>
          <w:tcPr>
            <w:tcW w:type="dxa" w:w="3384"/>
            <w:vAlign w:val="center"/>
            <w:tcMar>
              <w:top w:w="54" w:type="dxa"/>
              <w:bottom w:w="54" w:type="dxa"/>
              <w:start w:w="64" w:type="dxa"/>
              <w:end w:w="64" w:type="dxa"/>
            </w:tcMar>
            <w:shd w:fill="EDF4FA"/>
          </w:tcPr>
          <w:p>
            <w:pPr>
              <w:pStyle w:val="TableText"/>
            </w:pPr>
            <w:r/>
            <w:r>
              <w:rPr>
                <w:b w:val="0"/>
              </w:rPr>
              <w:t>May be biased, poorly calibrated, or not generalizable; reasoning is less direct.</w:t>
            </w:r>
          </w:p>
        </w:tc>
        <w:tc>
          <w:tcPr>
            <w:tcW w:type="dxa" w:w="2808"/>
            <w:vAlign w:val="center"/>
            <w:tcMar>
              <w:top w:w="54" w:type="dxa"/>
              <w:bottom w:w="54" w:type="dxa"/>
              <w:start w:w="64" w:type="dxa"/>
              <w:end w:w="64" w:type="dxa"/>
            </w:tcMar>
            <w:shd w:fill="EDF4FA"/>
          </w:tcPr>
          <w:p>
            <w:pPr>
              <w:pStyle w:val="TableText"/>
            </w:pPr>
            <w:r/>
            <w:r>
              <w:rPr>
                <w:b w:val="0"/>
              </w:rPr>
              <w:t>Provides a secondary data-driven HIGH/LOW signal when records are complete.</w:t>
            </w:r>
          </w:p>
        </w:tc>
      </w:tr>
      <w:tr>
        <w:trPr>
          <w:cantSplit/>
        </w:trPr>
        <w:tc>
          <w:tcPr>
            <w:tcW w:type="dxa" w:w="2160"/>
            <w:vAlign w:val="center"/>
            <w:tcMar>
              <w:top w:w="54" w:type="dxa"/>
              <w:bottom w:w="54" w:type="dxa"/>
              <w:start w:w="64" w:type="dxa"/>
              <w:end w:w="64" w:type="dxa"/>
            </w:tcMar>
          </w:tcPr>
          <w:p>
            <w:pPr>
              <w:pStyle w:val="TableText"/>
            </w:pPr>
            <w:r/>
            <w:r>
              <w:rPr>
                <w:b w:val="0"/>
              </w:rPr>
              <w:t>Human review</w:t>
            </w:r>
          </w:p>
        </w:tc>
        <w:tc>
          <w:tcPr>
            <w:tcW w:type="dxa" w:w="3024"/>
            <w:vAlign w:val="center"/>
            <w:tcMar>
              <w:top w:w="54" w:type="dxa"/>
              <w:bottom w:w="54" w:type="dxa"/>
              <w:start w:w="64" w:type="dxa"/>
              <w:end w:w="64" w:type="dxa"/>
            </w:tcMar>
          </w:tcPr>
          <w:p>
            <w:pPr>
              <w:pStyle w:val="TableText"/>
            </w:pPr>
            <w:r/>
            <w:r>
              <w:rPr>
                <w:b w:val="0"/>
              </w:rPr>
              <w:t>Can interpret context, symptoms, patient preference, facility capability, and incomplete information.</w:t>
            </w:r>
          </w:p>
        </w:tc>
        <w:tc>
          <w:tcPr>
            <w:tcW w:type="dxa" w:w="3384"/>
            <w:vAlign w:val="center"/>
            <w:tcMar>
              <w:top w:w="54" w:type="dxa"/>
              <w:bottom w:w="54" w:type="dxa"/>
              <w:start w:w="64" w:type="dxa"/>
              <w:end w:w="64" w:type="dxa"/>
            </w:tcMar>
          </w:tcPr>
          <w:p>
            <w:pPr>
              <w:pStyle w:val="TableText"/>
            </w:pPr>
            <w:r/>
            <w:r>
              <w:rPr>
                <w:b w:val="0"/>
              </w:rPr>
              <w:t>Subject to workload, inconsistency, and documentation gaps.</w:t>
            </w:r>
          </w:p>
        </w:tc>
        <w:tc>
          <w:tcPr>
            <w:tcW w:type="dxa" w:w="2808"/>
            <w:vAlign w:val="center"/>
            <w:tcMar>
              <w:top w:w="54" w:type="dxa"/>
              <w:bottom w:w="54" w:type="dxa"/>
              <w:start w:w="64" w:type="dxa"/>
              <w:end w:w="64" w:type="dxa"/>
            </w:tcMar>
          </w:tcPr>
          <w:p>
            <w:pPr>
              <w:pStyle w:val="TableText"/>
            </w:pPr>
            <w:r/>
            <w:r>
              <w:rPr>
                <w:b w:val="0"/>
              </w:rPr>
              <w:t>Remains responsible for verification, referral, counseling, and clinical decision-making.</w:t>
            </w:r>
          </w:p>
        </w:tc>
      </w:tr>
      <w:tr>
        <w:trPr>
          <w:cantSplit/>
        </w:trPr>
        <w:tc>
          <w:tcPr>
            <w:tcW w:type="dxa" w:w="2160"/>
            <w:vAlign w:val="center"/>
            <w:tcMar>
              <w:top w:w="54" w:type="dxa"/>
              <w:bottom w:w="54" w:type="dxa"/>
              <w:start w:w="64" w:type="dxa"/>
              <w:end w:w="64" w:type="dxa"/>
            </w:tcMar>
            <w:shd w:fill="EDF4FA"/>
          </w:tcPr>
          <w:p>
            <w:pPr>
              <w:pStyle w:val="TableText"/>
            </w:pPr>
            <w:r/>
            <w:r>
              <w:rPr>
                <w:b w:val="0"/>
              </w:rPr>
              <w:t>Referral workflow</w:t>
            </w:r>
          </w:p>
        </w:tc>
        <w:tc>
          <w:tcPr>
            <w:tcW w:type="dxa" w:w="3024"/>
            <w:vAlign w:val="center"/>
            <w:tcMar>
              <w:top w:w="54" w:type="dxa"/>
              <w:bottom w:w="54" w:type="dxa"/>
              <w:start w:w="64" w:type="dxa"/>
              <w:end w:w="64" w:type="dxa"/>
            </w:tcMar>
            <w:shd w:fill="EDF4FA"/>
          </w:tcPr>
          <w:p>
            <w:pPr>
              <w:pStyle w:val="TableText"/>
            </w:pPr>
            <w:r/>
            <w:r>
              <w:rPr>
                <w:b w:val="0"/>
              </w:rPr>
              <w:t>Connects recognition to real higher-level assessment and treatment.</w:t>
            </w:r>
          </w:p>
        </w:tc>
        <w:tc>
          <w:tcPr>
            <w:tcW w:type="dxa" w:w="3384"/>
            <w:vAlign w:val="center"/>
            <w:tcMar>
              <w:top w:w="54" w:type="dxa"/>
              <w:bottom w:w="54" w:type="dxa"/>
              <w:start w:w="64" w:type="dxa"/>
              <w:end w:w="64" w:type="dxa"/>
            </w:tcMar>
            <w:shd w:fill="EDF4FA"/>
          </w:tcPr>
          <w:p>
            <w:pPr>
              <w:pStyle w:val="TableText"/>
            </w:pPr>
            <w:r/>
            <w:r>
              <w:rPr>
                <w:b w:val="0"/>
              </w:rPr>
              <w:t>May fail because of transport, cost, capacity, refusal, or communication barriers.</w:t>
            </w:r>
          </w:p>
        </w:tc>
        <w:tc>
          <w:tcPr>
            <w:tcW w:type="dxa" w:w="2808"/>
            <w:vAlign w:val="center"/>
            <w:tcMar>
              <w:top w:w="54" w:type="dxa"/>
              <w:bottom w:w="54" w:type="dxa"/>
              <w:start w:w="64" w:type="dxa"/>
              <w:end w:w="64" w:type="dxa"/>
            </w:tcMar>
            <w:shd w:fill="EDF4FA"/>
          </w:tcPr>
          <w:p>
            <w:pPr>
              <w:pStyle w:val="TableText"/>
            </w:pPr>
            <w:r/>
            <w:r>
              <w:rPr>
                <w:b w:val="0"/>
              </w:rPr>
              <w:t>Converts risk recognition into continuity of care.</w:t>
            </w:r>
          </w:p>
        </w:tc>
      </w:tr>
    </w:tbl>
    <w:p>
      <w:pPr>
        <w:spacing w:after="20"/>
      </w:pPr>
    </w:p>
    <w:p>
      <w:pPr>
        <w:pStyle w:val="Heading2"/>
      </w:pPr>
      <w:r>
        <w:t>3.1 Why rules cannot be replaced by ML</w:t>
      </w:r>
    </w:p>
    <w:p>
      <w:pPr>
        <w:pStyle w:val="ListBullet"/>
        <w:spacing w:after="36"/>
      </w:pPr>
      <w:r>
        <w:t>A model may return LOW even when a clinically important threshold is present because of training-data limitations, class imbalance, or learned correlations.</w:t>
      </w:r>
    </w:p>
    <w:p>
      <w:pPr>
        <w:pStyle w:val="ListBullet"/>
        <w:spacing w:after="36"/>
      </w:pPr>
      <w:r>
        <w:t>Known severe thresholds require predictable behavior that can be verified exactly.</w:t>
      </w:r>
    </w:p>
    <w:p>
      <w:pPr>
        <w:pStyle w:val="ListBullet"/>
        <w:spacing w:after="36"/>
      </w:pPr>
      <w:r>
        <w:t>Rule-based reasons are directly reviewable by the midwife and panel.</w:t>
      </w:r>
    </w:p>
    <w:p>
      <w:pPr>
        <w:pStyle w:val="ListBullet"/>
        <w:spacing w:after="36"/>
      </w:pPr>
      <w:r>
        <w:t>Regulated and clinically governed systems require traceability between patient inputs, software logic, and recommendations.</w:t>
      </w:r>
    </w:p>
    <w:p>
      <w:pPr>
        <w:pStyle w:val="ListBullet"/>
        <w:spacing w:after="36"/>
      </w:pPr>
      <w:r>
        <w:t>Deterministic rules provide a safe fallback when the Python service is unavailable or returns an invalid response.</w:t>
      </w:r>
    </w:p>
    <w:p>
      <w:pPr>
        <w:pStyle w:val="Heading2"/>
      </w:pPr>
      <w:r>
        <w:t>3.2 Why ML is retained</w:t>
      </w:r>
    </w:p>
    <w:p>
      <w:pPr>
        <w:pStyle w:val="ListBullet"/>
        <w:spacing w:after="36"/>
      </w:pPr>
      <w:r>
        <w:t>A rule library cannot enumerate every possible multivariable pattern.</w:t>
      </w:r>
    </w:p>
    <w:p>
      <w:pPr>
        <w:pStyle w:val="ListBullet"/>
        <w:spacing w:after="36"/>
      </w:pPr>
      <w:r>
        <w:t>ML may identify combinations that were present in the development data but are not represented as explicit deterministic rules.</w:t>
      </w:r>
    </w:p>
    <w:p>
      <w:pPr>
        <w:pStyle w:val="ListBullet"/>
        <w:spacing w:after="36"/>
      </w:pPr>
      <w:r>
        <w:t>The model provides a research component that can be evaluated separately from the rule engine.</w:t>
      </w:r>
    </w:p>
    <w:p>
      <w:pPr>
        <w:pStyle w:val="ListBullet"/>
        <w:spacing w:after="36"/>
      </w:pPr>
      <w:r>
        <w:t>A hybrid architecture allows the project to study rule-model disagreement rather than hiding it.</w:t>
      </w:r>
    </w:p>
    <w:p>
      <w:pPr>
        <w:pStyle w:val="ListBullet"/>
        <w:spacing w:after="36"/>
      </w:pPr>
      <w:r>
        <w:t>ML-only HIGH can trigger qualified review when records are complete and no deterministic rule is active.</w:t>
      </w:r>
    </w:p>
    <w:p>
      <w:pPr>
        <w:pStyle w:val="Heading1"/>
      </w:pPr>
      <w:r>
        <w:t>4. Safety-First Design Philosophy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4" w:type="dxa"/>
              <w:bottom w:w="54" w:type="dxa"/>
              <w:start w:w="64" w:type="dxa"/>
              <w:end w:w="64" w:type="dxa"/>
            </w:tcMar>
            <w:shd w:fill="17365D"/>
          </w:tcPr>
          <w:p>
            <w:pPr>
              <w:pStyle w:val="TableHeader"/>
            </w:pPr>
            <w:r/>
            <w:r>
              <w:rPr>
                <w:b/>
                <w:color w:val="FFFFFF"/>
              </w:rPr>
              <w:t>Safety principle</w:t>
            </w:r>
          </w:p>
        </w:tc>
        <w:tc>
          <w:tcPr>
            <w:tcW w:type="dxa" w:w="7488"/>
            <w:vAlign w:val="center"/>
            <w:tcMar>
              <w:top w:w="54" w:type="dxa"/>
              <w:bottom w:w="54" w:type="dxa"/>
              <w:start w:w="64" w:type="dxa"/>
              <w:end w:w="64" w:type="dxa"/>
            </w:tcMar>
            <w:shd w:fill="17365D"/>
          </w:tcPr>
          <w:p>
            <w:pPr>
              <w:pStyle w:val="TableHeader"/>
            </w:pPr>
            <w:r/>
            <w:r>
              <w:rPr>
                <w:b/>
                <w:color w:val="FFFFFF"/>
              </w:rPr>
              <w:t>Operational rule</w:t>
            </w:r>
          </w:p>
        </w:tc>
      </w:tr>
      <w:tr>
        <w:trPr>
          <w:cantSplit/>
        </w:trPr>
        <w:tc>
          <w:tcPr>
            <w:tcW w:type="dxa" w:w="3024"/>
            <w:vAlign w:val="center"/>
            <w:tcMar>
              <w:top w:w="54" w:type="dxa"/>
              <w:bottom w:w="54" w:type="dxa"/>
              <w:start w:w="64" w:type="dxa"/>
              <w:end w:w="64" w:type="dxa"/>
            </w:tcMar>
          </w:tcPr>
          <w:p>
            <w:pPr>
              <w:pStyle w:val="TableText"/>
            </w:pPr>
            <w:r/>
            <w:r>
              <w:rPr>
                <w:b w:val="0"/>
              </w:rPr>
              <w:t>Known risk cannot be cancelled</w:t>
            </w:r>
          </w:p>
        </w:tc>
        <w:tc>
          <w:tcPr>
            <w:tcW w:type="dxa" w:w="7488"/>
            <w:vAlign w:val="center"/>
            <w:tcMar>
              <w:top w:w="54" w:type="dxa"/>
              <w:bottom w:w="54" w:type="dxa"/>
              <w:start w:w="64" w:type="dxa"/>
              <w:end w:w="64" w:type="dxa"/>
            </w:tcMar>
          </w:tcPr>
          <w:p>
            <w:pPr>
              <w:pStyle w:val="TableText"/>
            </w:pPr>
            <w:r/>
            <w:r>
              <w:rPr>
                <w:b w:val="0"/>
              </w:rPr>
              <w:t>Any verified deterministic HIGH factor keeps the final result HIGH.</w:t>
            </w:r>
          </w:p>
        </w:tc>
      </w:tr>
      <w:tr>
        <w:trPr>
          <w:cantSplit/>
        </w:trPr>
        <w:tc>
          <w:tcPr>
            <w:tcW w:type="dxa" w:w="3024"/>
            <w:vAlign w:val="center"/>
            <w:tcMar>
              <w:top w:w="54" w:type="dxa"/>
              <w:bottom w:w="54" w:type="dxa"/>
              <w:start w:w="64" w:type="dxa"/>
              <w:end w:w="64" w:type="dxa"/>
            </w:tcMar>
            <w:shd w:fill="EDF4FA"/>
          </w:tcPr>
          <w:p>
            <w:pPr>
              <w:pStyle w:val="TableText"/>
            </w:pPr>
            <w:r/>
            <w:r>
              <w:rPr>
                <w:b w:val="0"/>
              </w:rPr>
              <w:t>Emergency action comes first</w:t>
            </w:r>
          </w:p>
        </w:tc>
        <w:tc>
          <w:tcPr>
            <w:tcW w:type="dxa" w:w="7488"/>
            <w:vAlign w:val="center"/>
            <w:tcMar>
              <w:top w:w="54" w:type="dxa"/>
              <w:bottom w:w="54" w:type="dxa"/>
              <w:start w:w="64" w:type="dxa"/>
              <w:end w:w="64" w:type="dxa"/>
            </w:tcMar>
            <w:shd w:fill="EDF4FA"/>
          </w:tcPr>
          <w:p>
            <w:pPr>
              <w:pStyle w:val="TableText"/>
            </w:pPr>
            <w:r/>
            <w:r>
              <w:rPr>
                <w:b w:val="0"/>
              </w:rPr>
              <w:t>Urgent or emergency triggers are acted upon before routine record completion or ML.</w:t>
            </w:r>
          </w:p>
        </w:tc>
      </w:tr>
      <w:tr>
        <w:trPr>
          <w:cantSplit/>
        </w:trPr>
        <w:tc>
          <w:tcPr>
            <w:tcW w:type="dxa" w:w="3024"/>
            <w:vAlign w:val="center"/>
            <w:tcMar>
              <w:top w:w="54" w:type="dxa"/>
              <w:bottom w:w="54" w:type="dxa"/>
              <w:start w:w="64" w:type="dxa"/>
              <w:end w:w="64" w:type="dxa"/>
            </w:tcMar>
          </w:tcPr>
          <w:p>
            <w:pPr>
              <w:pStyle w:val="TableText"/>
            </w:pPr>
            <w:r/>
            <w:r>
              <w:rPr>
                <w:b w:val="0"/>
              </w:rPr>
              <w:t>Unknown is not normal</w:t>
            </w:r>
          </w:p>
        </w:tc>
        <w:tc>
          <w:tcPr>
            <w:tcW w:type="dxa" w:w="7488"/>
            <w:vAlign w:val="center"/>
            <w:tcMar>
              <w:top w:w="54" w:type="dxa"/>
              <w:bottom w:w="54" w:type="dxa"/>
              <w:start w:w="64" w:type="dxa"/>
              <w:end w:w="64" w:type="dxa"/>
            </w:tcMar>
          </w:tcPr>
          <w:p>
            <w:pPr>
              <w:pStyle w:val="TableText"/>
            </w:pPr>
            <w:r/>
            <w:r>
              <w:rPr>
                <w:b w:val="0"/>
              </w:rPr>
              <w:t>Missing, unknown, invalid, stale, or contradictory information remains visible.</w:t>
            </w:r>
          </w:p>
        </w:tc>
      </w:tr>
      <w:tr>
        <w:trPr>
          <w:cantSplit/>
        </w:trPr>
        <w:tc>
          <w:tcPr>
            <w:tcW w:type="dxa" w:w="3024"/>
            <w:vAlign w:val="center"/>
            <w:tcMar>
              <w:top w:w="54" w:type="dxa"/>
              <w:bottom w:w="54" w:type="dxa"/>
              <w:start w:w="64" w:type="dxa"/>
              <w:end w:w="64" w:type="dxa"/>
            </w:tcMar>
            <w:shd w:fill="EDF4FA"/>
          </w:tcPr>
          <w:p>
            <w:pPr>
              <w:pStyle w:val="TableText"/>
            </w:pPr>
            <w:r/>
            <w:r>
              <w:rPr>
                <w:b w:val="0"/>
              </w:rPr>
              <w:t>LOW requires positive evidence</w:t>
            </w:r>
          </w:p>
        </w:tc>
        <w:tc>
          <w:tcPr>
            <w:tcW w:type="dxa" w:w="7488"/>
            <w:vAlign w:val="center"/>
            <w:tcMar>
              <w:top w:w="54" w:type="dxa"/>
              <w:bottom w:w="54" w:type="dxa"/>
              <w:start w:w="64" w:type="dxa"/>
              <w:end w:w="64" w:type="dxa"/>
            </w:tcMar>
            <w:shd w:fill="EDF4FA"/>
          </w:tcPr>
          <w:p>
            <w:pPr>
              <w:pStyle w:val="TableText"/>
            </w:pPr>
            <w:r/>
            <w:r>
              <w:rPr>
                <w:b w:val="0"/>
              </w:rPr>
              <w:t>LOW is issued only after completion checks, absence of deterministic HIGH, and valid ML LOW.</w:t>
            </w:r>
          </w:p>
        </w:tc>
      </w:tr>
      <w:tr>
        <w:trPr>
          <w:cantSplit/>
        </w:trPr>
        <w:tc>
          <w:tcPr>
            <w:tcW w:type="dxa" w:w="3024"/>
            <w:vAlign w:val="center"/>
            <w:tcMar>
              <w:top w:w="54" w:type="dxa"/>
              <w:bottom w:w="54" w:type="dxa"/>
              <w:start w:w="64" w:type="dxa"/>
              <w:end w:w="64" w:type="dxa"/>
            </w:tcMar>
          </w:tcPr>
          <w:p>
            <w:pPr>
              <w:pStyle w:val="TableText"/>
            </w:pPr>
            <w:r/>
            <w:r>
              <w:rPr>
                <w:b w:val="0"/>
              </w:rPr>
              <w:t>One result, many reasons</w:t>
            </w:r>
          </w:p>
        </w:tc>
        <w:tc>
          <w:tcPr>
            <w:tcW w:type="dxa" w:w="7488"/>
            <w:vAlign w:val="center"/>
            <w:tcMar>
              <w:top w:w="54" w:type="dxa"/>
              <w:bottom w:w="54" w:type="dxa"/>
              <w:start w:w="64" w:type="dxa"/>
              <w:end w:w="64" w:type="dxa"/>
            </w:tcMar>
          </w:tcPr>
          <w:p>
            <w:pPr>
              <w:pStyle w:val="TableText"/>
            </w:pPr>
            <w:r/>
            <w:r>
              <w:rPr>
                <w:b w:val="0"/>
              </w:rPr>
              <w:t>The category remains HIGH while all active reasons and the highest urgency are preserved.</w:t>
            </w:r>
          </w:p>
        </w:tc>
      </w:tr>
      <w:tr>
        <w:trPr>
          <w:cantSplit/>
        </w:trPr>
        <w:tc>
          <w:tcPr>
            <w:tcW w:type="dxa" w:w="3024"/>
            <w:vAlign w:val="center"/>
            <w:tcMar>
              <w:top w:w="54" w:type="dxa"/>
              <w:bottom w:w="54" w:type="dxa"/>
              <w:start w:w="64" w:type="dxa"/>
              <w:end w:w="64" w:type="dxa"/>
            </w:tcMar>
            <w:shd w:fill="EDF4FA"/>
          </w:tcPr>
          <w:p>
            <w:pPr>
              <w:pStyle w:val="TableText"/>
            </w:pPr>
            <w:r/>
            <w:r>
              <w:rPr>
                <w:b w:val="0"/>
              </w:rPr>
              <w:t>No hidden score</w:t>
            </w:r>
          </w:p>
        </w:tc>
        <w:tc>
          <w:tcPr>
            <w:tcW w:type="dxa" w:w="7488"/>
            <w:vAlign w:val="center"/>
            <w:tcMar>
              <w:top w:w="54" w:type="dxa"/>
              <w:bottom w:w="54" w:type="dxa"/>
              <w:start w:w="64" w:type="dxa"/>
              <w:end w:w="64" w:type="dxa"/>
            </w:tcMar>
            <w:shd w:fill="EDF4FA"/>
          </w:tcPr>
          <w:p>
            <w:pPr>
              <w:pStyle w:val="TableText"/>
            </w:pPr>
            <w:r/>
            <w:r>
              <w:rPr>
                <w:b w:val="0"/>
              </w:rPr>
              <w:t>The system does not sum risk factors into an undocumented numerical index.</w:t>
            </w:r>
          </w:p>
        </w:tc>
      </w:tr>
      <w:tr>
        <w:trPr>
          <w:cantSplit/>
        </w:trPr>
        <w:tc>
          <w:tcPr>
            <w:tcW w:type="dxa" w:w="3024"/>
            <w:vAlign w:val="center"/>
            <w:tcMar>
              <w:top w:w="54" w:type="dxa"/>
              <w:bottom w:w="54" w:type="dxa"/>
              <w:start w:w="64" w:type="dxa"/>
              <w:end w:w="64" w:type="dxa"/>
            </w:tcMar>
          </w:tcPr>
          <w:p>
            <w:pPr>
              <w:pStyle w:val="TableText"/>
            </w:pPr>
            <w:r/>
            <w:r>
              <w:rPr>
                <w:b w:val="0"/>
              </w:rPr>
              <w:t>No unsupported causation</w:t>
            </w:r>
          </w:p>
        </w:tc>
        <w:tc>
          <w:tcPr>
            <w:tcW w:type="dxa" w:w="7488"/>
            <w:vAlign w:val="center"/>
            <w:tcMar>
              <w:top w:w="54" w:type="dxa"/>
              <w:bottom w:w="54" w:type="dxa"/>
              <w:start w:w="64" w:type="dxa"/>
              <w:end w:w="64" w:type="dxa"/>
            </w:tcMar>
          </w:tcPr>
          <w:p>
            <w:pPr>
              <w:pStyle w:val="TableText"/>
            </w:pPr>
            <w:r/>
            <w:r>
              <w:rPr>
                <w:b w:val="0"/>
              </w:rPr>
              <w:t>Interactions describe coexisting concerns and required review, not confirmed causal pathways.</w:t>
            </w:r>
          </w:p>
        </w:tc>
      </w:tr>
      <w:tr>
        <w:trPr>
          <w:cantSplit/>
        </w:trPr>
        <w:tc>
          <w:tcPr>
            <w:tcW w:type="dxa" w:w="3024"/>
            <w:vAlign w:val="center"/>
            <w:tcMar>
              <w:top w:w="54" w:type="dxa"/>
              <w:bottom w:w="54" w:type="dxa"/>
              <w:start w:w="64" w:type="dxa"/>
              <w:end w:w="64" w:type="dxa"/>
            </w:tcMar>
            <w:shd w:fill="EDF4FA"/>
          </w:tcPr>
          <w:p>
            <w:pPr>
              <w:pStyle w:val="TableText"/>
            </w:pPr>
            <w:r/>
            <w:r>
              <w:rPr>
                <w:b w:val="0"/>
              </w:rPr>
              <w:t>No autonomous treatment</w:t>
            </w:r>
          </w:p>
        </w:tc>
        <w:tc>
          <w:tcPr>
            <w:tcW w:type="dxa" w:w="7488"/>
            <w:vAlign w:val="center"/>
            <w:tcMar>
              <w:top w:w="54" w:type="dxa"/>
              <w:bottom w:w="54" w:type="dxa"/>
              <w:start w:w="64" w:type="dxa"/>
              <w:end w:w="64" w:type="dxa"/>
            </w:tcMar>
            <w:shd w:fill="EDF4FA"/>
          </w:tcPr>
          <w:p>
            <w:pPr>
              <w:pStyle w:val="TableText"/>
            </w:pPr>
            <w:r/>
            <w:r>
              <w:rPr>
                <w:b w:val="0"/>
              </w:rPr>
              <w:t>The output supports referral, evaluation, and follow-up.</w:t>
            </w:r>
          </w:p>
        </w:tc>
      </w:tr>
      <w:tr>
        <w:trPr>
          <w:cantSplit/>
        </w:trPr>
        <w:tc>
          <w:tcPr>
            <w:tcW w:type="dxa" w:w="3024"/>
            <w:vAlign w:val="center"/>
            <w:tcMar>
              <w:top w:w="54" w:type="dxa"/>
              <w:bottom w:w="54" w:type="dxa"/>
              <w:start w:w="64" w:type="dxa"/>
              <w:end w:w="64" w:type="dxa"/>
            </w:tcMar>
          </w:tcPr>
          <w:p>
            <w:pPr>
              <w:pStyle w:val="TableText"/>
            </w:pPr>
            <w:r/>
            <w:r>
              <w:rPr>
                <w:b w:val="0"/>
              </w:rPr>
              <w:t>No silent failure</w:t>
            </w:r>
          </w:p>
        </w:tc>
        <w:tc>
          <w:tcPr>
            <w:tcW w:type="dxa" w:w="7488"/>
            <w:vAlign w:val="center"/>
            <w:tcMar>
              <w:top w:w="54" w:type="dxa"/>
              <w:bottom w:w="54" w:type="dxa"/>
              <w:start w:w="64" w:type="dxa"/>
              <w:end w:w="64" w:type="dxa"/>
            </w:tcMar>
          </w:tcPr>
          <w:p>
            <w:pPr>
              <w:pStyle w:val="TableText"/>
            </w:pPr>
            <w:r/>
            <w:r>
              <w:rPr>
                <w:b w:val="0"/>
              </w:rPr>
              <w:t>Model errors, stale records, and unresolved referrals are shown to the user.</w:t>
            </w:r>
          </w:p>
        </w:tc>
      </w:tr>
      <w:tr>
        <w:trPr>
          <w:cantSplit/>
        </w:trPr>
        <w:tc>
          <w:tcPr>
            <w:tcW w:type="dxa" w:w="3024"/>
            <w:vAlign w:val="center"/>
            <w:tcMar>
              <w:top w:w="54" w:type="dxa"/>
              <w:bottom w:w="54" w:type="dxa"/>
              <w:start w:w="64" w:type="dxa"/>
              <w:end w:w="64" w:type="dxa"/>
            </w:tcMar>
            <w:shd w:fill="EDF4FA"/>
          </w:tcPr>
          <w:p>
            <w:pPr>
              <w:pStyle w:val="TableText"/>
            </w:pPr>
            <w:r/>
            <w:r>
              <w:rPr>
                <w:b w:val="0"/>
              </w:rPr>
              <w:t>Human accountability remains</w:t>
            </w:r>
          </w:p>
        </w:tc>
        <w:tc>
          <w:tcPr>
            <w:tcW w:type="dxa" w:w="7488"/>
            <w:vAlign w:val="center"/>
            <w:tcMar>
              <w:top w:w="54" w:type="dxa"/>
              <w:bottom w:w="54" w:type="dxa"/>
              <w:start w:w="64" w:type="dxa"/>
              <w:end w:w="64" w:type="dxa"/>
            </w:tcMar>
            <w:shd w:fill="EDF4FA"/>
          </w:tcPr>
          <w:p>
            <w:pPr>
              <w:pStyle w:val="TableText"/>
            </w:pPr>
            <w:r/>
            <w:r>
              <w:rPr>
                <w:b w:val="0"/>
              </w:rPr>
              <w:t>Staff review, referral, counseling, and override are auditable.</w:t>
            </w:r>
          </w:p>
        </w:tc>
      </w:tr>
    </w:tbl>
    <w:p>
      <w:pPr>
        <w:spacing w:after="20"/>
      </w:pPr>
    </w:p>
    <w:p>
      <w:pPr>
        <w:pStyle w:val="Heading1"/>
      </w:pPr>
      <w:r>
        <w:t>5. Why This Is Called a Risk Index Framework but Is Not a Numerical Score</w:t>
      </w:r>
    </w:p>
    <w:p>
      <w:r>
        <w:t>The term 'Risk Index Framework' refers to an organized indexing of assessment states, risk factors, urgency, explanations, and actions. It does not mean that each factor receives points or that the system calculates a validated obstetric risk percentage.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256"/>
            <w:vAlign w:val="center"/>
            <w:tcMar>
              <w:top w:w="54" w:type="dxa"/>
              <w:bottom w:w="54" w:type="dxa"/>
              <w:start w:w="64" w:type="dxa"/>
              <w:end w:w="64" w:type="dxa"/>
            </w:tcMar>
            <w:shd w:fill="17365D"/>
          </w:tcPr>
          <w:p>
            <w:pPr>
              <w:pStyle w:val="TableHeader"/>
            </w:pPr>
            <w:r/>
            <w:r>
              <w:rPr>
                <w:b/>
                <w:color w:val="FFFFFF"/>
              </w:rPr>
              <w:t>Permitted framework behavior</w:t>
            </w:r>
          </w:p>
        </w:tc>
        <w:tc>
          <w:tcPr>
            <w:tcW w:type="dxa" w:w="5256"/>
            <w:vAlign w:val="center"/>
            <w:tcMar>
              <w:top w:w="54" w:type="dxa"/>
              <w:bottom w:w="54" w:type="dxa"/>
              <w:start w:w="64" w:type="dxa"/>
              <w:end w:w="64" w:type="dxa"/>
            </w:tcMar>
            <w:shd w:fill="17365D"/>
          </w:tcPr>
          <w:p>
            <w:pPr>
              <w:pStyle w:val="TableHeader"/>
            </w:pPr>
            <w:r/>
            <w:r>
              <w:rPr>
                <w:b/>
                <w:color w:val="FFFFFF"/>
              </w:rPr>
              <w:t>Prohibited interpretation</w:t>
            </w:r>
          </w:p>
        </w:tc>
      </w:tr>
      <w:tr>
        <w:trPr>
          <w:cantSplit/>
        </w:trPr>
        <w:tc>
          <w:tcPr>
            <w:tcW w:type="dxa" w:w="5256"/>
            <w:vAlign w:val="center"/>
            <w:tcMar>
              <w:top w:w="54" w:type="dxa"/>
              <w:bottom w:w="54" w:type="dxa"/>
              <w:start w:w="64" w:type="dxa"/>
              <w:end w:w="64" w:type="dxa"/>
            </w:tcMar>
          </w:tcPr>
          <w:p>
            <w:pPr>
              <w:pStyle w:val="TableText"/>
            </w:pPr>
            <w:r/>
            <w:r>
              <w:rPr>
                <w:b w:val="0"/>
              </w:rPr>
              <w:t>Indexing each clinical reason with a stable rule ID.</w:t>
            </w:r>
          </w:p>
        </w:tc>
        <w:tc>
          <w:tcPr>
            <w:tcW w:type="dxa" w:w="5256"/>
            <w:vAlign w:val="center"/>
            <w:tcMar>
              <w:top w:w="54" w:type="dxa"/>
              <w:bottom w:w="54" w:type="dxa"/>
              <w:start w:w="64" w:type="dxa"/>
              <w:end w:w="64" w:type="dxa"/>
            </w:tcMar>
          </w:tcPr>
          <w:p>
            <w:pPr>
              <w:pStyle w:val="TableText"/>
            </w:pPr>
            <w:r/>
            <w:r>
              <w:rPr>
                <w:b w:val="0"/>
              </w:rPr>
              <w:t>Assigning arbitrary points to age, diabetes, anemia, cesarean, or ultrasound findings.</w:t>
            </w:r>
          </w:p>
        </w:tc>
      </w:tr>
      <w:tr>
        <w:trPr>
          <w:cantSplit/>
        </w:trPr>
        <w:tc>
          <w:tcPr>
            <w:tcW w:type="dxa" w:w="5256"/>
            <w:vAlign w:val="center"/>
            <w:tcMar>
              <w:top w:w="54" w:type="dxa"/>
              <w:bottom w:w="54" w:type="dxa"/>
              <w:start w:w="64" w:type="dxa"/>
              <w:end w:w="64" w:type="dxa"/>
            </w:tcMar>
            <w:shd w:fill="EDF4FA"/>
          </w:tcPr>
          <w:p>
            <w:pPr>
              <w:pStyle w:val="TableText"/>
            </w:pPr>
            <w:r/>
            <w:r>
              <w:rPr>
                <w:b w:val="0"/>
              </w:rPr>
              <w:t>Ordering action by urgency.</w:t>
            </w:r>
          </w:p>
        </w:tc>
        <w:tc>
          <w:tcPr>
            <w:tcW w:type="dxa" w:w="5256"/>
            <w:vAlign w:val="center"/>
            <w:tcMar>
              <w:top w:w="54" w:type="dxa"/>
              <w:bottom w:w="54" w:type="dxa"/>
              <w:start w:w="64" w:type="dxa"/>
              <w:end w:w="64" w:type="dxa"/>
            </w:tcMar>
            <w:shd w:fill="EDF4FA"/>
          </w:tcPr>
          <w:p>
            <w:pPr>
              <w:pStyle w:val="TableText"/>
            </w:pPr>
            <w:r/>
            <w:r>
              <w:rPr>
                <w:b w:val="0"/>
              </w:rPr>
              <w:t>Calling a patient 'very high risk' because several factors are present.</w:t>
            </w:r>
          </w:p>
        </w:tc>
      </w:tr>
      <w:tr>
        <w:trPr>
          <w:cantSplit/>
        </w:trPr>
        <w:tc>
          <w:tcPr>
            <w:tcW w:type="dxa" w:w="5256"/>
            <w:vAlign w:val="center"/>
            <w:tcMar>
              <w:top w:w="54" w:type="dxa"/>
              <w:bottom w:w="54" w:type="dxa"/>
              <w:start w:w="64" w:type="dxa"/>
              <w:end w:w="64" w:type="dxa"/>
            </w:tcMar>
          </w:tcPr>
          <w:p>
            <w:pPr>
              <w:pStyle w:val="TableText"/>
            </w:pPr>
            <w:r/>
            <w:r>
              <w:rPr>
                <w:b w:val="0"/>
              </w:rPr>
              <w:t>Tracking risk state over time.</w:t>
            </w:r>
          </w:p>
        </w:tc>
        <w:tc>
          <w:tcPr>
            <w:tcW w:type="dxa" w:w="5256"/>
            <w:vAlign w:val="center"/>
            <w:tcMar>
              <w:top w:w="54" w:type="dxa"/>
              <w:bottom w:w="54" w:type="dxa"/>
              <w:start w:w="64" w:type="dxa"/>
              <w:end w:w="64" w:type="dxa"/>
            </w:tcMar>
          </w:tcPr>
          <w:p>
            <w:pPr>
              <w:pStyle w:val="TableText"/>
            </w:pPr>
            <w:r/>
            <w:r>
              <w:rPr>
                <w:b w:val="0"/>
              </w:rPr>
              <w:t>Treating a later LOW as proof that prior risk never existed.</w:t>
            </w:r>
          </w:p>
        </w:tc>
      </w:tr>
      <w:tr>
        <w:trPr>
          <w:cantSplit/>
        </w:trPr>
        <w:tc>
          <w:tcPr>
            <w:tcW w:type="dxa" w:w="5256"/>
            <w:vAlign w:val="center"/>
            <w:tcMar>
              <w:top w:w="54" w:type="dxa"/>
              <w:bottom w:w="54" w:type="dxa"/>
              <w:start w:w="64" w:type="dxa"/>
              <w:end w:w="64" w:type="dxa"/>
            </w:tcMar>
            <w:shd w:fill="EDF4FA"/>
          </w:tcPr>
          <w:p>
            <w:pPr>
              <w:pStyle w:val="TableText"/>
            </w:pPr>
            <w:r/>
            <w:r>
              <w:rPr>
                <w:b w:val="0"/>
              </w:rPr>
              <w:t>Recording all active reasons and interactions.</w:t>
            </w:r>
          </w:p>
        </w:tc>
        <w:tc>
          <w:tcPr>
            <w:tcW w:type="dxa" w:w="5256"/>
            <w:vAlign w:val="center"/>
            <w:tcMar>
              <w:top w:w="54" w:type="dxa"/>
              <w:bottom w:w="54" w:type="dxa"/>
              <w:start w:w="64" w:type="dxa"/>
              <w:end w:w="64" w:type="dxa"/>
            </w:tcMar>
            <w:shd w:fill="EDF4FA"/>
          </w:tcPr>
          <w:p>
            <w:pPr>
              <w:pStyle w:val="TableText"/>
            </w:pPr>
            <w:r/>
            <w:r>
              <w:rPr>
                <w:b w:val="0"/>
              </w:rPr>
              <w:t>Assuming that more factors produce a mathematically known combined probability.</w:t>
            </w:r>
          </w:p>
        </w:tc>
      </w:tr>
      <w:tr>
        <w:trPr>
          <w:cantSplit/>
        </w:trPr>
        <w:tc>
          <w:tcPr>
            <w:tcW w:type="dxa" w:w="5256"/>
            <w:vAlign w:val="center"/>
            <w:tcMar>
              <w:top w:w="54" w:type="dxa"/>
              <w:bottom w:w="54" w:type="dxa"/>
              <w:start w:w="64" w:type="dxa"/>
              <w:end w:w="64" w:type="dxa"/>
            </w:tcMar>
          </w:tcPr>
          <w:p>
            <w:pPr>
              <w:pStyle w:val="TableText"/>
            </w:pPr>
            <w:r/>
            <w:r>
              <w:rPr>
                <w:b w:val="0"/>
              </w:rPr>
              <w:t>Linking each state to a recommendation and explanation.</w:t>
            </w:r>
          </w:p>
        </w:tc>
        <w:tc>
          <w:tcPr>
            <w:tcW w:type="dxa" w:w="5256"/>
            <w:vAlign w:val="center"/>
            <w:tcMar>
              <w:top w:w="54" w:type="dxa"/>
              <w:bottom w:w="54" w:type="dxa"/>
              <w:start w:w="64" w:type="dxa"/>
              <w:end w:w="64" w:type="dxa"/>
            </w:tcMar>
          </w:tcPr>
          <w:p>
            <w:pPr>
              <w:pStyle w:val="TableText"/>
            </w:pPr>
            <w:r/>
            <w:r>
              <w:rPr>
                <w:b w:val="0"/>
              </w:rPr>
              <w:t>Presenting the framework as a validated mortality or complication score.</w:t>
            </w:r>
          </w:p>
        </w:tc>
      </w:tr>
      <w:tr>
        <w:trPr>
          <w:cantSplit/>
        </w:trPr>
        <w:tc>
          <w:tcPr>
            <w:tcW w:type="dxa" w:w="5256"/>
            <w:vAlign w:val="center"/>
            <w:tcMar>
              <w:top w:w="54" w:type="dxa"/>
              <w:bottom w:w="54" w:type="dxa"/>
              <w:start w:w="64" w:type="dxa"/>
              <w:end w:w="64" w:type="dxa"/>
            </w:tcMar>
            <w:shd w:fill="EDF4FA"/>
          </w:tcPr>
          <w:p>
            <w:pPr>
              <w:pStyle w:val="TableText"/>
            </w:pPr>
            <w:r/>
            <w:r>
              <w:rPr>
                <w:b w:val="0"/>
              </w:rPr>
              <w:t>Using ML classification as one component.</w:t>
            </w:r>
          </w:p>
        </w:tc>
        <w:tc>
          <w:tcPr>
            <w:tcW w:type="dxa" w:w="5256"/>
            <w:vAlign w:val="center"/>
            <w:tcMar>
              <w:top w:w="54" w:type="dxa"/>
              <w:bottom w:w="54" w:type="dxa"/>
              <w:start w:w="64" w:type="dxa"/>
              <w:end w:w="64" w:type="dxa"/>
            </w:tcMar>
            <w:shd w:fill="EDF4FA"/>
          </w:tcPr>
          <w:p>
            <w:pPr>
              <w:pStyle w:val="TableText"/>
            </w:pPr>
            <w:r/>
            <w:r>
              <w:rPr>
                <w:b w:val="0"/>
              </w:rPr>
              <w:t>Combining model probability and rule count without validation.</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Terminology safeguard</w:t>
              <w:br/>
            </w:r>
            <w:r>
              <w:t>In presentations and thesis defense, describe the framework as a categorical, hybrid risk-indexing architecture. Do not describe it as a validated numerical clinical risk score unless a future study creates and validates such a score.</w:t>
            </w:r>
          </w:p>
        </w:tc>
      </w:tr>
    </w:tbl>
    <w:p>
      <w:pPr>
        <w:spacing w:after="20"/>
      </w:pPr>
    </w:p>
    <w:p>
      <w:pPr>
        <w:pStyle w:val="Heading1"/>
      </w:pPr>
      <w:r>
        <w:t>6. Evidence Translation Philosophy</w:t>
      </w:r>
    </w:p>
    <w:p>
      <w:r>
        <w:t>WHO Digital Adaptation Kits demonstrate that digital decision support should begin with identifiable recommendations, workflows, data elements, and explicit input-output logic. This project adopts that philosophy but distinguishes carefully between direct guideline recommendations and project implementation decisions.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vAlign w:val="center"/>
            <w:tcMar>
              <w:top w:w="54" w:type="dxa"/>
              <w:bottom w:w="54" w:type="dxa"/>
              <w:start w:w="64" w:type="dxa"/>
              <w:end w:w="64" w:type="dxa"/>
            </w:tcMar>
            <w:shd w:fill="17365D"/>
          </w:tcPr>
          <w:p>
            <w:pPr>
              <w:pStyle w:val="TableHeader"/>
            </w:pPr>
            <w:r/>
            <w:r>
              <w:rPr>
                <w:b/>
                <w:color w:val="FFFFFF"/>
              </w:rPr>
              <w:t>Evidence category</w:t>
            </w:r>
          </w:p>
        </w:tc>
        <w:tc>
          <w:tcPr>
            <w:tcW w:type="dxa" w:w="4032"/>
            <w:vAlign w:val="center"/>
            <w:tcMar>
              <w:top w:w="54" w:type="dxa"/>
              <w:bottom w:w="54" w:type="dxa"/>
              <w:start w:w="64" w:type="dxa"/>
              <w:end w:w="64" w:type="dxa"/>
            </w:tcMar>
            <w:shd w:fill="17365D"/>
          </w:tcPr>
          <w:p>
            <w:pPr>
              <w:pStyle w:val="TableHeader"/>
            </w:pPr>
            <w:r/>
            <w:r>
              <w:rPr>
                <w:b/>
                <w:color w:val="FFFFFF"/>
              </w:rPr>
              <w:t>Meaning</w:t>
            </w:r>
          </w:p>
        </w:tc>
        <w:tc>
          <w:tcPr>
            <w:tcW w:type="dxa" w:w="4032"/>
            <w:vAlign w:val="center"/>
            <w:tcMar>
              <w:top w:w="54" w:type="dxa"/>
              <w:bottom w:w="54" w:type="dxa"/>
              <w:start w:w="64" w:type="dxa"/>
              <w:end w:w="64" w:type="dxa"/>
            </w:tcMar>
            <w:shd w:fill="17365D"/>
          </w:tcPr>
          <w:p>
            <w:pPr>
              <w:pStyle w:val="TableHeader"/>
            </w:pPr>
            <w:r/>
            <w:r>
              <w:rPr>
                <w:b/>
                <w:color w:val="FFFFFF"/>
              </w:rPr>
              <w:t>Required documentation</w:t>
            </w:r>
          </w:p>
        </w:tc>
      </w:tr>
      <w:tr>
        <w:trPr>
          <w:cantSplit/>
        </w:trPr>
        <w:tc>
          <w:tcPr>
            <w:tcW w:type="dxa" w:w="2448"/>
            <w:vAlign w:val="center"/>
            <w:tcMar>
              <w:top w:w="54" w:type="dxa"/>
              <w:bottom w:w="54" w:type="dxa"/>
              <w:start w:w="64" w:type="dxa"/>
              <w:end w:w="64" w:type="dxa"/>
            </w:tcMar>
          </w:tcPr>
          <w:p>
            <w:pPr>
              <w:pStyle w:val="TableText"/>
            </w:pPr>
            <w:r/>
            <w:r>
              <w:rPr>
                <w:b w:val="0"/>
              </w:rPr>
              <w:t>Direct guideline recommendation</w:t>
            </w:r>
          </w:p>
        </w:tc>
        <w:tc>
          <w:tcPr>
            <w:tcW w:type="dxa" w:w="4032"/>
            <w:vAlign w:val="center"/>
            <w:tcMar>
              <w:top w:w="54" w:type="dxa"/>
              <w:bottom w:w="54" w:type="dxa"/>
              <w:start w:w="64" w:type="dxa"/>
              <w:end w:w="64" w:type="dxa"/>
            </w:tcMar>
          </w:tcPr>
          <w:p>
            <w:pPr>
              <w:pStyle w:val="TableText"/>
            </w:pPr>
            <w:r/>
            <w:r>
              <w:rPr>
                <w:b w:val="0"/>
              </w:rPr>
              <w:t>The source explicitly recommends the same clinical action or threshold.</w:t>
            </w:r>
          </w:p>
        </w:tc>
        <w:tc>
          <w:tcPr>
            <w:tcW w:type="dxa" w:w="4032"/>
            <w:vAlign w:val="center"/>
            <w:tcMar>
              <w:top w:w="54" w:type="dxa"/>
              <w:bottom w:w="54" w:type="dxa"/>
              <w:start w:w="64" w:type="dxa"/>
              <w:end w:w="64" w:type="dxa"/>
            </w:tcMar>
          </w:tcPr>
          <w:p>
            <w:pPr>
              <w:pStyle w:val="TableText"/>
            </w:pPr>
            <w:r/>
            <w:r>
              <w:rPr>
                <w:b w:val="0"/>
              </w:rPr>
              <w:t>Organization, guideline, section, date, exact project mapping.</w:t>
            </w:r>
          </w:p>
        </w:tc>
      </w:tr>
      <w:tr>
        <w:trPr>
          <w:cantSplit/>
        </w:trPr>
        <w:tc>
          <w:tcPr>
            <w:tcW w:type="dxa" w:w="2448"/>
            <w:vAlign w:val="center"/>
            <w:tcMar>
              <w:top w:w="54" w:type="dxa"/>
              <w:bottom w:w="54" w:type="dxa"/>
              <w:start w:w="64" w:type="dxa"/>
              <w:end w:w="64" w:type="dxa"/>
            </w:tcMar>
            <w:shd w:fill="EDF4FA"/>
          </w:tcPr>
          <w:p>
            <w:pPr>
              <w:pStyle w:val="TableText"/>
            </w:pPr>
            <w:r/>
            <w:r>
              <w:rPr>
                <w:b w:val="0"/>
              </w:rPr>
              <w:t>Guideline-supported association</w:t>
            </w:r>
          </w:p>
        </w:tc>
        <w:tc>
          <w:tcPr>
            <w:tcW w:type="dxa" w:w="4032"/>
            <w:vAlign w:val="center"/>
            <w:tcMar>
              <w:top w:w="54" w:type="dxa"/>
              <w:bottom w:w="54" w:type="dxa"/>
              <w:start w:w="64" w:type="dxa"/>
              <w:end w:w="64" w:type="dxa"/>
            </w:tcMar>
            <w:shd w:fill="EDF4FA"/>
          </w:tcPr>
          <w:p>
            <w:pPr>
              <w:pStyle w:val="TableText"/>
            </w:pPr>
            <w:r/>
            <w:r>
              <w:rPr>
                <w:b w:val="0"/>
              </w:rPr>
              <w:t>Evidence supports concern but does not state the exact software rule.</w:t>
            </w:r>
          </w:p>
        </w:tc>
        <w:tc>
          <w:tcPr>
            <w:tcW w:type="dxa" w:w="4032"/>
            <w:vAlign w:val="center"/>
            <w:tcMar>
              <w:top w:w="54" w:type="dxa"/>
              <w:bottom w:w="54" w:type="dxa"/>
              <w:start w:w="64" w:type="dxa"/>
              <w:end w:w="64" w:type="dxa"/>
            </w:tcMar>
            <w:shd w:fill="EDF4FA"/>
          </w:tcPr>
          <w:p>
            <w:pPr>
              <w:pStyle w:val="TableText"/>
            </w:pPr>
            <w:r/>
            <w:r>
              <w:rPr>
                <w:b w:val="0"/>
              </w:rPr>
              <w:t>Association, limitation, and translation rationale.</w:t>
            </w:r>
          </w:p>
        </w:tc>
      </w:tr>
      <w:tr>
        <w:trPr>
          <w:cantSplit/>
        </w:trPr>
        <w:tc>
          <w:tcPr>
            <w:tcW w:type="dxa" w:w="2448"/>
            <w:vAlign w:val="center"/>
            <w:tcMar>
              <w:top w:w="54" w:type="dxa"/>
              <w:bottom w:w="54" w:type="dxa"/>
              <w:start w:w="64" w:type="dxa"/>
              <w:end w:w="64" w:type="dxa"/>
            </w:tcMar>
          </w:tcPr>
          <w:p>
            <w:pPr>
              <w:pStyle w:val="TableText"/>
            </w:pPr>
            <w:r/>
            <w:r>
              <w:rPr>
                <w:b w:val="0"/>
              </w:rPr>
              <w:t>Evidence-informed project decision</w:t>
            </w:r>
          </w:p>
        </w:tc>
        <w:tc>
          <w:tcPr>
            <w:tcW w:type="dxa" w:w="4032"/>
            <w:vAlign w:val="center"/>
            <w:tcMar>
              <w:top w:w="54" w:type="dxa"/>
              <w:bottom w:w="54" w:type="dxa"/>
              <w:start w:w="64" w:type="dxa"/>
              <w:end w:w="64" w:type="dxa"/>
            </w:tcMar>
          </w:tcPr>
          <w:p>
            <w:pPr>
              <w:pStyle w:val="TableText"/>
            </w:pPr>
            <w:r/>
            <w:r>
              <w:rPr>
                <w:b w:val="0"/>
              </w:rPr>
              <w:t>The project selects a conservative rule because of available data and clinic capability.</w:t>
            </w:r>
          </w:p>
        </w:tc>
        <w:tc>
          <w:tcPr>
            <w:tcW w:type="dxa" w:w="4032"/>
            <w:vAlign w:val="center"/>
            <w:tcMar>
              <w:top w:w="54" w:type="dxa"/>
              <w:bottom w:w="54" w:type="dxa"/>
              <w:start w:w="64" w:type="dxa"/>
              <w:end w:w="64" w:type="dxa"/>
            </w:tcMar>
          </w:tcPr>
          <w:p>
            <w:pPr>
              <w:pStyle w:val="TableText"/>
            </w:pPr>
            <w:r/>
            <w:r>
              <w:rPr>
                <w:b w:val="0"/>
              </w:rPr>
              <w:t>Decision owner, rationale, expected benefit, possible over-referral.</w:t>
            </w:r>
          </w:p>
        </w:tc>
      </w:tr>
      <w:tr>
        <w:trPr>
          <w:cantSplit/>
        </w:trPr>
        <w:tc>
          <w:tcPr>
            <w:tcW w:type="dxa" w:w="2448"/>
            <w:vAlign w:val="center"/>
            <w:tcMar>
              <w:top w:w="54" w:type="dxa"/>
              <w:bottom w:w="54" w:type="dxa"/>
              <w:start w:w="64" w:type="dxa"/>
              <w:end w:w="64" w:type="dxa"/>
            </w:tcMar>
            <w:shd w:fill="EDF4FA"/>
          </w:tcPr>
          <w:p>
            <w:pPr>
              <w:pStyle w:val="TableText"/>
            </w:pPr>
            <w:r/>
            <w:r>
              <w:rPr>
                <w:b w:val="0"/>
              </w:rPr>
              <w:t>Safety control</w:t>
            </w:r>
          </w:p>
        </w:tc>
        <w:tc>
          <w:tcPr>
            <w:tcW w:type="dxa" w:w="4032"/>
            <w:vAlign w:val="center"/>
            <w:tcMar>
              <w:top w:w="54" w:type="dxa"/>
              <w:bottom w:w="54" w:type="dxa"/>
              <w:start w:w="64" w:type="dxa"/>
              <w:end w:w="64" w:type="dxa"/>
            </w:tcMar>
            <w:shd w:fill="EDF4FA"/>
          </w:tcPr>
          <w:p>
            <w:pPr>
              <w:pStyle w:val="TableText"/>
            </w:pPr>
            <w:r/>
            <w:r>
              <w:rPr>
                <w:b w:val="0"/>
              </w:rPr>
              <w:t>A software behavior prevents foreseeable harm, such as incomplete rather than LOW.</w:t>
            </w:r>
          </w:p>
        </w:tc>
        <w:tc>
          <w:tcPr>
            <w:tcW w:type="dxa" w:w="4032"/>
            <w:vAlign w:val="center"/>
            <w:tcMar>
              <w:top w:w="54" w:type="dxa"/>
              <w:bottom w:w="54" w:type="dxa"/>
              <w:start w:w="64" w:type="dxa"/>
              <w:end w:w="64" w:type="dxa"/>
            </w:tcMar>
            <w:shd w:fill="EDF4FA"/>
          </w:tcPr>
          <w:p>
            <w:pPr>
              <w:pStyle w:val="TableText"/>
            </w:pPr>
            <w:r/>
            <w:r>
              <w:rPr>
                <w:b w:val="0"/>
              </w:rPr>
              <w:t>Hazard addressed, test case, and governance approval.</w:t>
            </w:r>
          </w:p>
        </w:tc>
      </w:tr>
      <w:tr>
        <w:trPr>
          <w:cantSplit/>
        </w:trPr>
        <w:tc>
          <w:tcPr>
            <w:tcW w:type="dxa" w:w="2448"/>
            <w:vAlign w:val="center"/>
            <w:tcMar>
              <w:top w:w="54" w:type="dxa"/>
              <w:bottom w:w="54" w:type="dxa"/>
              <w:start w:w="64" w:type="dxa"/>
              <w:end w:w="64" w:type="dxa"/>
            </w:tcMar>
          </w:tcPr>
          <w:p>
            <w:pPr>
              <w:pStyle w:val="TableText"/>
            </w:pPr>
            <w:r/>
            <w:r>
              <w:rPr>
                <w:b w:val="0"/>
              </w:rPr>
              <w:t>Local workflow adaptation</w:t>
            </w:r>
          </w:p>
        </w:tc>
        <w:tc>
          <w:tcPr>
            <w:tcW w:type="dxa" w:w="4032"/>
            <w:vAlign w:val="center"/>
            <w:tcMar>
              <w:top w:w="54" w:type="dxa"/>
              <w:bottom w:w="54" w:type="dxa"/>
              <w:start w:w="64" w:type="dxa"/>
              <w:end w:w="64" w:type="dxa"/>
            </w:tcMar>
          </w:tcPr>
          <w:p>
            <w:pPr>
              <w:pStyle w:val="TableText"/>
            </w:pPr>
            <w:r/>
            <w:r>
              <w:rPr>
                <w:b w:val="0"/>
              </w:rPr>
              <w:t>A recommendation is adjusted to the lying-in clinic and referral network.</w:t>
            </w:r>
          </w:p>
        </w:tc>
        <w:tc>
          <w:tcPr>
            <w:tcW w:type="dxa" w:w="4032"/>
            <w:vAlign w:val="center"/>
            <w:tcMar>
              <w:top w:w="54" w:type="dxa"/>
              <w:bottom w:w="54" w:type="dxa"/>
              <w:start w:w="64" w:type="dxa"/>
              <w:end w:w="64" w:type="dxa"/>
            </w:tcMar>
          </w:tcPr>
          <w:p>
            <w:pPr>
              <w:pStyle w:val="TableText"/>
            </w:pPr>
            <w:r/>
            <w:r>
              <w:rPr>
                <w:b w:val="0"/>
              </w:rPr>
              <w:t>Facility assumptions and local clinical approval.</w:t>
            </w:r>
          </w:p>
        </w:tc>
      </w:tr>
    </w:tbl>
    <w:p>
      <w:pPr>
        <w:spacing w:after="20"/>
      </w:pPr>
    </w:p>
    <w:p>
      <w:pPr>
        <w:pStyle w:val="Heading1"/>
      </w:pPr>
      <w:r>
        <w:t>7. Human Oversight Philosophy</w:t>
      </w:r>
    </w:p>
    <w:p>
      <w:r>
        <w:t>The framework is designed around meaningful human review rather than passive display. The midwife must be able to verify the patient data, see which rules activated, understand the model's role, identify missing information, and initiate the appropriate referral or follow-up.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4" w:type="dxa"/>
              <w:bottom w:w="54" w:type="dxa"/>
              <w:start w:w="64" w:type="dxa"/>
              <w:end w:w="64" w:type="dxa"/>
            </w:tcMar>
            <w:shd w:fill="17365D"/>
          </w:tcPr>
          <w:p>
            <w:pPr>
              <w:pStyle w:val="TableHeader"/>
            </w:pPr>
            <w:r/>
            <w:r>
              <w:rPr>
                <w:b/>
                <w:color w:val="FFFFFF"/>
              </w:rPr>
              <w:t>Human role</w:t>
            </w:r>
          </w:p>
        </w:tc>
        <w:tc>
          <w:tcPr>
            <w:tcW w:type="dxa" w:w="4176"/>
            <w:vAlign w:val="center"/>
            <w:tcMar>
              <w:top w:w="54" w:type="dxa"/>
              <w:bottom w:w="54" w:type="dxa"/>
              <w:start w:w="64" w:type="dxa"/>
              <w:end w:w="64" w:type="dxa"/>
            </w:tcMar>
            <w:shd w:fill="17365D"/>
          </w:tcPr>
          <w:p>
            <w:pPr>
              <w:pStyle w:val="TableHeader"/>
            </w:pPr>
            <w:r/>
            <w:r>
              <w:rPr>
                <w:b/>
                <w:color w:val="FFFFFF"/>
              </w:rPr>
              <w:t>System support</w:t>
            </w:r>
          </w:p>
        </w:tc>
        <w:tc>
          <w:tcPr>
            <w:tcW w:type="dxa" w:w="4392"/>
            <w:vAlign w:val="center"/>
            <w:tcMar>
              <w:top w:w="54" w:type="dxa"/>
              <w:bottom w:w="54" w:type="dxa"/>
              <w:start w:w="64" w:type="dxa"/>
              <w:end w:w="64" w:type="dxa"/>
            </w:tcMar>
            <w:shd w:fill="17365D"/>
          </w:tcPr>
          <w:p>
            <w:pPr>
              <w:pStyle w:val="TableHeader"/>
            </w:pPr>
            <w:r/>
            <w:r>
              <w:rPr>
                <w:b/>
                <w:color w:val="FFFFFF"/>
              </w:rPr>
              <w:t>Human responsibility</w:t>
            </w:r>
          </w:p>
        </w:tc>
      </w:tr>
      <w:tr>
        <w:trPr>
          <w:cantSplit/>
        </w:trPr>
        <w:tc>
          <w:tcPr>
            <w:tcW w:type="dxa" w:w="1944"/>
            <w:vAlign w:val="center"/>
            <w:tcMar>
              <w:top w:w="54" w:type="dxa"/>
              <w:bottom w:w="54" w:type="dxa"/>
              <w:start w:w="64" w:type="dxa"/>
              <w:end w:w="64" w:type="dxa"/>
            </w:tcMar>
          </w:tcPr>
          <w:p>
            <w:pPr>
              <w:pStyle w:val="TableText"/>
            </w:pPr>
            <w:r/>
            <w:r>
              <w:rPr>
                <w:b w:val="0"/>
              </w:rPr>
              <w:t>Midwife</w:t>
            </w:r>
          </w:p>
        </w:tc>
        <w:tc>
          <w:tcPr>
            <w:tcW w:type="dxa" w:w="4176"/>
            <w:vAlign w:val="center"/>
            <w:tcMar>
              <w:top w:w="54" w:type="dxa"/>
              <w:bottom w:w="54" w:type="dxa"/>
              <w:start w:w="64" w:type="dxa"/>
              <w:end w:w="64" w:type="dxa"/>
            </w:tcMar>
          </w:tcPr>
          <w:p>
            <w:pPr>
              <w:pStyle w:val="TableText"/>
            </w:pPr>
            <w:r/>
            <w:r>
              <w:rPr>
                <w:b w:val="0"/>
              </w:rPr>
              <w:t>Structured data entry, alerts, reasons, recommendations, referral records.</w:t>
            </w:r>
          </w:p>
        </w:tc>
        <w:tc>
          <w:tcPr>
            <w:tcW w:type="dxa" w:w="4392"/>
            <w:vAlign w:val="center"/>
            <w:tcMar>
              <w:top w:w="54" w:type="dxa"/>
              <w:bottom w:w="54" w:type="dxa"/>
              <w:start w:w="64" w:type="dxa"/>
              <w:end w:w="64" w:type="dxa"/>
            </w:tcMar>
          </w:tcPr>
          <w:p>
            <w:pPr>
              <w:pStyle w:val="TableText"/>
            </w:pPr>
            <w:r/>
            <w:r>
              <w:rPr>
                <w:b w:val="0"/>
              </w:rPr>
              <w:t>Verify measurements and reports, communicate with the patient, follow protocol, and arrange escalation.</w:t>
            </w:r>
          </w:p>
        </w:tc>
      </w:tr>
      <w:tr>
        <w:trPr>
          <w:cantSplit/>
        </w:trPr>
        <w:tc>
          <w:tcPr>
            <w:tcW w:type="dxa" w:w="1944"/>
            <w:vAlign w:val="center"/>
            <w:tcMar>
              <w:top w:w="54" w:type="dxa"/>
              <w:bottom w:w="54" w:type="dxa"/>
              <w:start w:w="64" w:type="dxa"/>
              <w:end w:w="64" w:type="dxa"/>
            </w:tcMar>
            <w:shd w:fill="EDF4FA"/>
          </w:tcPr>
          <w:p>
            <w:pPr>
              <w:pStyle w:val="TableText"/>
            </w:pPr>
            <w:r/>
            <w:r>
              <w:rPr>
                <w:b w:val="0"/>
              </w:rPr>
              <w:t>Supervising clinician</w:t>
            </w:r>
          </w:p>
        </w:tc>
        <w:tc>
          <w:tcPr>
            <w:tcW w:type="dxa" w:w="4176"/>
            <w:vAlign w:val="center"/>
            <w:tcMar>
              <w:top w:w="54" w:type="dxa"/>
              <w:bottom w:w="54" w:type="dxa"/>
              <w:start w:w="64" w:type="dxa"/>
              <w:end w:w="64" w:type="dxa"/>
            </w:tcMar>
            <w:shd w:fill="EDF4FA"/>
          </w:tcPr>
          <w:p>
            <w:pPr>
              <w:pStyle w:val="TableText"/>
            </w:pPr>
            <w:r/>
            <w:r>
              <w:rPr>
                <w:b w:val="0"/>
              </w:rPr>
              <w:t>Detailed decision trace, evidence source, model and rule versions.</w:t>
            </w:r>
          </w:p>
        </w:tc>
        <w:tc>
          <w:tcPr>
            <w:tcW w:type="dxa" w:w="4392"/>
            <w:vAlign w:val="center"/>
            <w:tcMar>
              <w:top w:w="54" w:type="dxa"/>
              <w:bottom w:w="54" w:type="dxa"/>
              <w:start w:w="64" w:type="dxa"/>
              <w:end w:w="64" w:type="dxa"/>
            </w:tcMar>
            <w:shd w:fill="EDF4FA"/>
          </w:tcPr>
          <w:p>
            <w:pPr>
              <w:pStyle w:val="TableText"/>
            </w:pPr>
            <w:r/>
            <w:r>
              <w:rPr>
                <w:b w:val="0"/>
              </w:rPr>
              <w:t>Confirm diagnosis, treatment, delivery planning, or alternate clinical plan.</w:t>
            </w:r>
          </w:p>
        </w:tc>
      </w:tr>
      <w:tr>
        <w:trPr>
          <w:cantSplit/>
        </w:trPr>
        <w:tc>
          <w:tcPr>
            <w:tcW w:type="dxa" w:w="1944"/>
            <w:vAlign w:val="center"/>
            <w:tcMar>
              <w:top w:w="54" w:type="dxa"/>
              <w:bottom w:w="54" w:type="dxa"/>
              <w:start w:w="64" w:type="dxa"/>
              <w:end w:w="64" w:type="dxa"/>
            </w:tcMar>
          </w:tcPr>
          <w:p>
            <w:pPr>
              <w:pStyle w:val="TableText"/>
            </w:pPr>
            <w:r/>
            <w:r>
              <w:rPr>
                <w:b w:val="0"/>
              </w:rPr>
              <w:t>Patient</w:t>
            </w:r>
          </w:p>
        </w:tc>
        <w:tc>
          <w:tcPr>
            <w:tcW w:type="dxa" w:w="4176"/>
            <w:vAlign w:val="center"/>
            <w:tcMar>
              <w:top w:w="54" w:type="dxa"/>
              <w:bottom w:w="54" w:type="dxa"/>
              <w:start w:w="64" w:type="dxa"/>
              <w:end w:w="64" w:type="dxa"/>
            </w:tcMar>
          </w:tcPr>
          <w:p>
            <w:pPr>
              <w:pStyle w:val="TableText"/>
            </w:pPr>
            <w:r/>
            <w:r>
              <w:rPr>
                <w:b w:val="0"/>
              </w:rPr>
              <w:t>Plain-language explanation, next step, limitations, and safety-net advice.</w:t>
            </w:r>
          </w:p>
        </w:tc>
        <w:tc>
          <w:tcPr>
            <w:tcW w:type="dxa" w:w="4392"/>
            <w:vAlign w:val="center"/>
            <w:tcMar>
              <w:top w:w="54" w:type="dxa"/>
              <w:bottom w:w="54" w:type="dxa"/>
              <w:start w:w="64" w:type="dxa"/>
              <w:end w:w="64" w:type="dxa"/>
            </w:tcMar>
          </w:tcPr>
          <w:p>
            <w:pPr>
              <w:pStyle w:val="TableText"/>
            </w:pPr>
            <w:r/>
            <w:r>
              <w:rPr>
                <w:b w:val="0"/>
              </w:rPr>
              <w:t>Participate in informed decisions and communicate symptoms, preferences, and barriers.</w:t>
            </w:r>
          </w:p>
        </w:tc>
      </w:tr>
      <w:tr>
        <w:trPr>
          <w:cantSplit/>
        </w:trPr>
        <w:tc>
          <w:tcPr>
            <w:tcW w:type="dxa" w:w="1944"/>
            <w:vAlign w:val="center"/>
            <w:tcMar>
              <w:top w:w="54" w:type="dxa"/>
              <w:bottom w:w="54" w:type="dxa"/>
              <w:start w:w="64" w:type="dxa"/>
              <w:end w:w="64" w:type="dxa"/>
            </w:tcMar>
            <w:shd w:fill="EDF4FA"/>
          </w:tcPr>
          <w:p>
            <w:pPr>
              <w:pStyle w:val="TableText"/>
            </w:pPr>
            <w:r/>
            <w:r>
              <w:rPr>
                <w:b w:val="0"/>
              </w:rPr>
              <w:t>Administrator/governance team</w:t>
            </w:r>
          </w:p>
        </w:tc>
        <w:tc>
          <w:tcPr>
            <w:tcW w:type="dxa" w:w="4176"/>
            <w:vAlign w:val="center"/>
            <w:tcMar>
              <w:top w:w="54" w:type="dxa"/>
              <w:bottom w:w="54" w:type="dxa"/>
              <w:start w:w="64" w:type="dxa"/>
              <w:end w:w="64" w:type="dxa"/>
            </w:tcMar>
            <w:shd w:fill="EDF4FA"/>
          </w:tcPr>
          <w:p>
            <w:pPr>
              <w:pStyle w:val="TableText"/>
            </w:pPr>
            <w:r/>
            <w:r>
              <w:rPr>
                <w:b w:val="0"/>
              </w:rPr>
              <w:t>Audit, versioning, validation metrics, referral status, and incidents.</w:t>
            </w:r>
          </w:p>
        </w:tc>
        <w:tc>
          <w:tcPr>
            <w:tcW w:type="dxa" w:w="4392"/>
            <w:vAlign w:val="center"/>
            <w:tcMar>
              <w:top w:w="54" w:type="dxa"/>
              <w:bottom w:w="54" w:type="dxa"/>
              <w:start w:w="64" w:type="dxa"/>
              <w:end w:w="64" w:type="dxa"/>
            </w:tcMar>
            <w:shd w:fill="EDF4FA"/>
          </w:tcPr>
          <w:p>
            <w:pPr>
              <w:pStyle w:val="TableText"/>
            </w:pPr>
            <w:r/>
            <w:r>
              <w:rPr>
                <w:b w:val="0"/>
              </w:rPr>
              <w:t>Approve content, monitor safety, maintain referral network, and manage releases.</w:t>
            </w:r>
          </w:p>
        </w:tc>
      </w:tr>
      <w:tr>
        <w:trPr>
          <w:cantSplit/>
        </w:trPr>
        <w:tc>
          <w:tcPr>
            <w:tcW w:type="dxa" w:w="1944"/>
            <w:vAlign w:val="center"/>
            <w:tcMar>
              <w:top w:w="54" w:type="dxa"/>
              <w:bottom w:w="54" w:type="dxa"/>
              <w:start w:w="64" w:type="dxa"/>
              <w:end w:w="64" w:type="dxa"/>
            </w:tcMar>
          </w:tcPr>
          <w:p>
            <w:pPr>
              <w:pStyle w:val="TableText"/>
            </w:pPr>
            <w:r/>
            <w:r>
              <w:rPr>
                <w:b w:val="0"/>
              </w:rPr>
              <w:t>Developer</w:t>
            </w:r>
          </w:p>
        </w:tc>
        <w:tc>
          <w:tcPr>
            <w:tcW w:type="dxa" w:w="4176"/>
            <w:vAlign w:val="center"/>
            <w:tcMar>
              <w:top w:w="54" w:type="dxa"/>
              <w:bottom w:w="54" w:type="dxa"/>
              <w:start w:w="64" w:type="dxa"/>
              <w:end w:w="64" w:type="dxa"/>
            </w:tcMar>
          </w:tcPr>
          <w:p>
            <w:pPr>
              <w:pStyle w:val="TableText"/>
            </w:pPr>
            <w:r/>
            <w:r>
              <w:rPr>
                <w:b w:val="0"/>
              </w:rPr>
              <w:t>Centralized rule and explanation identifiers, tests, error handling.</w:t>
            </w:r>
          </w:p>
        </w:tc>
        <w:tc>
          <w:tcPr>
            <w:tcW w:type="dxa" w:w="4392"/>
            <w:vAlign w:val="center"/>
            <w:tcMar>
              <w:top w:w="54" w:type="dxa"/>
              <w:bottom w:w="54" w:type="dxa"/>
              <w:start w:w="64" w:type="dxa"/>
              <w:end w:w="64" w:type="dxa"/>
            </w:tcMar>
          </w:tcPr>
          <w:p>
            <w:pPr>
              <w:pStyle w:val="TableText"/>
            </w:pPr>
            <w:r/>
            <w:r>
              <w:rPr>
                <w:b w:val="0"/>
              </w:rPr>
              <w:t>Implement the approved specification without inventing clinical content.</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Independent review requirement</w:t>
              <w:br/>
            </w:r>
            <w:r>
              <w:t>The framework should provide enough information for a qualified healthcare professional to independently review the basis of the recommendation. A statement such as 'AI says HIGH' is not an acceptable explanation.</w:t>
            </w:r>
          </w:p>
        </w:tc>
      </w:tr>
    </w:tbl>
    <w:p>
      <w:pPr>
        <w:spacing w:after="20"/>
      </w:pPr>
    </w:p>
    <w:p>
      <w:pPr>
        <w:pStyle w:val="Heading1"/>
      </w:pPr>
      <w:r>
        <w:t>8. Uncertainty Philosophy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4" w:type="dxa"/>
              <w:bottom w:w="54" w:type="dxa"/>
              <w:start w:w="64" w:type="dxa"/>
              <w:end w:w="64" w:type="dxa"/>
            </w:tcMar>
            <w:shd w:fill="17365D"/>
          </w:tcPr>
          <w:p>
            <w:pPr>
              <w:pStyle w:val="TableHeader"/>
            </w:pPr>
            <w:r/>
            <w:r>
              <w:rPr>
                <w:b/>
                <w:color w:val="FFFFFF"/>
              </w:rPr>
              <w:t>Uncertainty state</w:t>
            </w:r>
          </w:p>
        </w:tc>
        <w:tc>
          <w:tcPr>
            <w:tcW w:type="dxa" w:w="7632"/>
            <w:vAlign w:val="center"/>
            <w:tcMar>
              <w:top w:w="54" w:type="dxa"/>
              <w:bottom w:w="54" w:type="dxa"/>
              <w:start w:w="64" w:type="dxa"/>
              <w:end w:w="64" w:type="dxa"/>
            </w:tcMar>
            <w:shd w:fill="17365D"/>
          </w:tcPr>
          <w:p>
            <w:pPr>
              <w:pStyle w:val="TableHeader"/>
            </w:pPr>
            <w:r/>
            <w:r>
              <w:rPr>
                <w:b/>
                <w:color w:val="FFFFFF"/>
              </w:rPr>
              <w:t>Framework response</w:t>
            </w:r>
          </w:p>
        </w:tc>
      </w:tr>
      <w:tr>
        <w:trPr>
          <w:cantSplit/>
        </w:trPr>
        <w:tc>
          <w:tcPr>
            <w:tcW w:type="dxa" w:w="2880"/>
            <w:vAlign w:val="center"/>
            <w:tcMar>
              <w:top w:w="54" w:type="dxa"/>
              <w:bottom w:w="54" w:type="dxa"/>
              <w:start w:w="64" w:type="dxa"/>
              <w:end w:w="64" w:type="dxa"/>
            </w:tcMar>
          </w:tcPr>
          <w:p>
            <w:pPr>
              <w:pStyle w:val="TableText"/>
            </w:pPr>
            <w:r/>
            <w:r>
              <w:rPr>
                <w:b w:val="0"/>
              </w:rPr>
              <w:t>Missing required record</w:t>
            </w:r>
          </w:p>
        </w:tc>
        <w:tc>
          <w:tcPr>
            <w:tcW w:type="dxa" w:w="7632"/>
            <w:vAlign w:val="center"/>
            <w:tcMar>
              <w:top w:w="54" w:type="dxa"/>
              <w:bottom w:w="54" w:type="dxa"/>
              <w:start w:w="64" w:type="dxa"/>
              <w:end w:w="64" w:type="dxa"/>
            </w:tcMar>
          </w:tcPr>
          <w:p>
            <w:pPr>
              <w:pStyle w:val="TableText"/>
            </w:pPr>
            <w:r/>
            <w:r>
              <w:rPr>
                <w:b w:val="0"/>
              </w:rPr>
              <w:t>ASSESSMENT INCOMPLETE unless a verified HIGH factor already exists.</w:t>
            </w:r>
          </w:p>
        </w:tc>
      </w:tr>
      <w:tr>
        <w:trPr>
          <w:cantSplit/>
        </w:trPr>
        <w:tc>
          <w:tcPr>
            <w:tcW w:type="dxa" w:w="2880"/>
            <w:vAlign w:val="center"/>
            <w:tcMar>
              <w:top w:w="54" w:type="dxa"/>
              <w:bottom w:w="54" w:type="dxa"/>
              <w:start w:w="64" w:type="dxa"/>
              <w:end w:w="64" w:type="dxa"/>
            </w:tcMar>
            <w:shd w:fill="EDF4FA"/>
          </w:tcPr>
          <w:p>
            <w:pPr>
              <w:pStyle w:val="TableText"/>
            </w:pPr>
            <w:r/>
            <w:r>
              <w:rPr>
                <w:b w:val="0"/>
              </w:rPr>
              <w:t>Unknown value</w:t>
            </w:r>
          </w:p>
        </w:tc>
        <w:tc>
          <w:tcPr>
            <w:tcW w:type="dxa" w:w="7632"/>
            <w:vAlign w:val="center"/>
            <w:tcMar>
              <w:top w:w="54" w:type="dxa"/>
              <w:bottom w:w="54" w:type="dxa"/>
              <w:start w:w="64" w:type="dxa"/>
              <w:end w:w="64" w:type="dxa"/>
            </w:tcMar>
            <w:shd w:fill="EDF4FA"/>
          </w:tcPr>
          <w:p>
            <w:pPr>
              <w:pStyle w:val="TableText"/>
            </w:pPr>
            <w:r/>
            <w:r>
              <w:rPr>
                <w:b w:val="0"/>
              </w:rPr>
              <w:t>Keep unknown; never convert automatically to No or normal.</w:t>
            </w:r>
          </w:p>
        </w:tc>
      </w:tr>
      <w:tr>
        <w:trPr>
          <w:cantSplit/>
        </w:trPr>
        <w:tc>
          <w:tcPr>
            <w:tcW w:type="dxa" w:w="2880"/>
            <w:vAlign w:val="center"/>
            <w:tcMar>
              <w:top w:w="54" w:type="dxa"/>
              <w:bottom w:w="54" w:type="dxa"/>
              <w:start w:w="64" w:type="dxa"/>
              <w:end w:w="64" w:type="dxa"/>
            </w:tcMar>
          </w:tcPr>
          <w:p>
            <w:pPr>
              <w:pStyle w:val="TableText"/>
            </w:pPr>
            <w:r/>
            <w:r>
              <w:rPr>
                <w:b w:val="0"/>
              </w:rPr>
              <w:t>Invalid value</w:t>
            </w:r>
          </w:p>
        </w:tc>
        <w:tc>
          <w:tcPr>
            <w:tcW w:type="dxa" w:w="7632"/>
            <w:vAlign w:val="center"/>
            <w:tcMar>
              <w:top w:w="54" w:type="dxa"/>
              <w:bottom w:w="54" w:type="dxa"/>
              <w:start w:w="64" w:type="dxa"/>
              <w:end w:w="64" w:type="dxa"/>
            </w:tcMar>
          </w:tcPr>
          <w:p>
            <w:pPr>
              <w:pStyle w:val="TableText"/>
            </w:pPr>
            <w:r/>
            <w:r>
              <w:rPr>
                <w:b w:val="0"/>
              </w:rPr>
              <w:t>Reject or quarantine the value and request correction.</w:t>
            </w:r>
          </w:p>
        </w:tc>
      </w:tr>
      <w:tr>
        <w:trPr>
          <w:cantSplit/>
        </w:trPr>
        <w:tc>
          <w:tcPr>
            <w:tcW w:type="dxa" w:w="2880"/>
            <w:vAlign w:val="center"/>
            <w:tcMar>
              <w:top w:w="54" w:type="dxa"/>
              <w:bottom w:w="54" w:type="dxa"/>
              <w:start w:w="64" w:type="dxa"/>
              <w:end w:w="64" w:type="dxa"/>
            </w:tcMar>
            <w:shd w:fill="EDF4FA"/>
          </w:tcPr>
          <w:p>
            <w:pPr>
              <w:pStyle w:val="TableText"/>
            </w:pPr>
            <w:r/>
            <w:r>
              <w:rPr>
                <w:b w:val="0"/>
              </w:rPr>
              <w:t>Contradictory records</w:t>
            </w:r>
          </w:p>
        </w:tc>
        <w:tc>
          <w:tcPr>
            <w:tcW w:type="dxa" w:w="7632"/>
            <w:vAlign w:val="center"/>
            <w:tcMar>
              <w:top w:w="54" w:type="dxa"/>
              <w:bottom w:w="54" w:type="dxa"/>
              <w:start w:w="64" w:type="dxa"/>
              <w:end w:w="64" w:type="dxa"/>
            </w:tcMar>
            <w:shd w:fill="EDF4FA"/>
          </w:tcPr>
          <w:p>
            <w:pPr>
              <w:pStyle w:val="TableText"/>
            </w:pPr>
            <w:r/>
            <w:r>
              <w:rPr>
                <w:b w:val="0"/>
              </w:rPr>
              <w:t>Display conflict and require authorized review.</w:t>
            </w:r>
          </w:p>
        </w:tc>
      </w:tr>
      <w:tr>
        <w:trPr>
          <w:cantSplit/>
        </w:trPr>
        <w:tc>
          <w:tcPr>
            <w:tcW w:type="dxa" w:w="2880"/>
            <w:vAlign w:val="center"/>
            <w:tcMar>
              <w:top w:w="54" w:type="dxa"/>
              <w:bottom w:w="54" w:type="dxa"/>
              <w:start w:w="64" w:type="dxa"/>
              <w:end w:w="64" w:type="dxa"/>
            </w:tcMar>
          </w:tcPr>
          <w:p>
            <w:pPr>
              <w:pStyle w:val="TableText"/>
            </w:pPr>
            <w:r/>
            <w:r>
              <w:rPr>
                <w:b w:val="0"/>
              </w:rPr>
              <w:t>Stale information</w:t>
            </w:r>
          </w:p>
        </w:tc>
        <w:tc>
          <w:tcPr>
            <w:tcW w:type="dxa" w:w="7632"/>
            <w:vAlign w:val="center"/>
            <w:tcMar>
              <w:top w:w="54" w:type="dxa"/>
              <w:bottom w:w="54" w:type="dxa"/>
              <w:start w:w="64" w:type="dxa"/>
              <w:end w:w="64" w:type="dxa"/>
            </w:tcMar>
          </w:tcPr>
          <w:p>
            <w:pPr>
              <w:pStyle w:val="TableText"/>
            </w:pPr>
            <w:r/>
            <w:r>
              <w:rPr>
                <w:b w:val="0"/>
              </w:rPr>
              <w:t>Show the date and request current verification when clinically relevant.</w:t>
            </w:r>
          </w:p>
        </w:tc>
      </w:tr>
      <w:tr>
        <w:trPr>
          <w:cantSplit/>
        </w:trPr>
        <w:tc>
          <w:tcPr>
            <w:tcW w:type="dxa" w:w="2880"/>
            <w:vAlign w:val="center"/>
            <w:tcMar>
              <w:top w:w="54" w:type="dxa"/>
              <w:bottom w:w="54" w:type="dxa"/>
              <w:start w:w="64" w:type="dxa"/>
              <w:end w:w="64" w:type="dxa"/>
            </w:tcMar>
            <w:shd w:fill="EDF4FA"/>
          </w:tcPr>
          <w:p>
            <w:pPr>
              <w:pStyle w:val="TableText"/>
            </w:pPr>
            <w:r/>
            <w:r>
              <w:rPr>
                <w:b w:val="0"/>
              </w:rPr>
              <w:t>Unverified external report</w:t>
            </w:r>
          </w:p>
        </w:tc>
        <w:tc>
          <w:tcPr>
            <w:tcW w:type="dxa" w:w="7632"/>
            <w:vAlign w:val="center"/>
            <w:tcMar>
              <w:top w:w="54" w:type="dxa"/>
              <w:bottom w:w="54" w:type="dxa"/>
              <w:start w:w="64" w:type="dxa"/>
              <w:end w:w="64" w:type="dxa"/>
            </w:tcMar>
            <w:shd w:fill="EDF4FA"/>
          </w:tcPr>
          <w:p>
            <w:pPr>
              <w:pStyle w:val="TableText"/>
            </w:pPr>
            <w:r/>
            <w:r>
              <w:rPr>
                <w:b w:val="0"/>
              </w:rPr>
              <w:t>Identify the source and verification state.</w:t>
            </w:r>
          </w:p>
        </w:tc>
      </w:tr>
      <w:tr>
        <w:trPr>
          <w:cantSplit/>
        </w:trPr>
        <w:tc>
          <w:tcPr>
            <w:tcW w:type="dxa" w:w="2880"/>
            <w:vAlign w:val="center"/>
            <w:tcMar>
              <w:top w:w="54" w:type="dxa"/>
              <w:bottom w:w="54" w:type="dxa"/>
              <w:start w:w="64" w:type="dxa"/>
              <w:end w:w="64" w:type="dxa"/>
            </w:tcMar>
          </w:tcPr>
          <w:p>
            <w:pPr>
              <w:pStyle w:val="TableText"/>
            </w:pPr>
            <w:r/>
            <w:r>
              <w:rPr>
                <w:b w:val="0"/>
              </w:rPr>
              <w:t>ML error or timeout</w:t>
            </w:r>
          </w:p>
        </w:tc>
        <w:tc>
          <w:tcPr>
            <w:tcW w:type="dxa" w:w="7632"/>
            <w:vAlign w:val="center"/>
            <w:tcMar>
              <w:top w:w="54" w:type="dxa"/>
              <w:bottom w:w="54" w:type="dxa"/>
              <w:start w:w="64" w:type="dxa"/>
              <w:end w:w="64" w:type="dxa"/>
            </w:tcMar>
          </w:tcPr>
          <w:p>
            <w:pPr>
              <w:pStyle w:val="TableText"/>
            </w:pPr>
            <w:r/>
            <w:r>
              <w:rPr>
                <w:b w:val="0"/>
              </w:rPr>
              <w:t>Do not fabricate an output; use deterministic/manual pathway.</w:t>
            </w:r>
          </w:p>
        </w:tc>
      </w:tr>
      <w:tr>
        <w:trPr>
          <w:cantSplit/>
        </w:trPr>
        <w:tc>
          <w:tcPr>
            <w:tcW w:type="dxa" w:w="2880"/>
            <w:vAlign w:val="center"/>
            <w:tcMar>
              <w:top w:w="54" w:type="dxa"/>
              <w:bottom w:w="54" w:type="dxa"/>
              <w:start w:w="64" w:type="dxa"/>
              <w:end w:w="64" w:type="dxa"/>
            </w:tcMar>
            <w:shd w:fill="EDF4FA"/>
          </w:tcPr>
          <w:p>
            <w:pPr>
              <w:pStyle w:val="TableText"/>
            </w:pPr>
            <w:r/>
            <w:r>
              <w:rPr>
                <w:b w:val="0"/>
              </w:rPr>
              <w:t>Model limitation</w:t>
            </w:r>
          </w:p>
        </w:tc>
        <w:tc>
          <w:tcPr>
            <w:tcW w:type="dxa" w:w="7632"/>
            <w:vAlign w:val="center"/>
            <w:tcMar>
              <w:top w:w="54" w:type="dxa"/>
              <w:bottom w:w="54" w:type="dxa"/>
              <w:start w:w="64" w:type="dxa"/>
              <w:end w:w="64" w:type="dxa"/>
            </w:tcMar>
            <w:shd w:fill="EDF4FA"/>
          </w:tcPr>
          <w:p>
            <w:pPr>
              <w:pStyle w:val="TableText"/>
            </w:pPr>
            <w:r/>
            <w:r>
              <w:rPr>
                <w:b w:val="0"/>
              </w:rPr>
              <w:t>Disclose population, validation, and possible error limitations.</w:t>
            </w:r>
          </w:p>
        </w:tc>
      </w:tr>
      <w:tr>
        <w:trPr>
          <w:cantSplit/>
        </w:trPr>
        <w:tc>
          <w:tcPr>
            <w:tcW w:type="dxa" w:w="2880"/>
            <w:vAlign w:val="center"/>
            <w:tcMar>
              <w:top w:w="54" w:type="dxa"/>
              <w:bottom w:w="54" w:type="dxa"/>
              <w:start w:w="64" w:type="dxa"/>
              <w:end w:w="64" w:type="dxa"/>
            </w:tcMar>
          </w:tcPr>
          <w:p>
            <w:pPr>
              <w:pStyle w:val="TableText"/>
            </w:pPr>
            <w:r/>
            <w:r>
              <w:rPr>
                <w:b w:val="0"/>
              </w:rPr>
              <w:t>Referral pending</w:t>
            </w:r>
          </w:p>
        </w:tc>
        <w:tc>
          <w:tcPr>
            <w:tcW w:type="dxa" w:w="7632"/>
            <w:vAlign w:val="center"/>
            <w:tcMar>
              <w:top w:w="54" w:type="dxa"/>
              <w:bottom w:w="54" w:type="dxa"/>
              <w:start w:w="64" w:type="dxa"/>
              <w:end w:w="64" w:type="dxa"/>
            </w:tcMar>
          </w:tcPr>
          <w:p>
            <w:pPr>
              <w:pStyle w:val="TableText"/>
            </w:pPr>
            <w:r/>
            <w:r>
              <w:rPr>
                <w:b w:val="0"/>
              </w:rPr>
              <w:t>Treat the care need as unresolved.</w:t>
            </w:r>
          </w:p>
        </w:tc>
      </w:tr>
      <w:tr>
        <w:trPr>
          <w:cantSplit/>
        </w:trPr>
        <w:tc>
          <w:tcPr>
            <w:tcW w:type="dxa" w:w="2880"/>
            <w:vAlign w:val="center"/>
            <w:tcMar>
              <w:top w:w="54" w:type="dxa"/>
              <w:bottom w:w="54" w:type="dxa"/>
              <w:start w:w="64" w:type="dxa"/>
              <w:end w:w="64" w:type="dxa"/>
            </w:tcMar>
            <w:shd w:fill="EDF4FA"/>
          </w:tcPr>
          <w:p>
            <w:pPr>
              <w:pStyle w:val="TableText"/>
            </w:pPr>
            <w:r/>
            <w:r>
              <w:rPr>
                <w:b w:val="0"/>
              </w:rPr>
              <w:t>Patient refusal</w:t>
            </w:r>
          </w:p>
        </w:tc>
        <w:tc>
          <w:tcPr>
            <w:tcW w:type="dxa" w:w="7632"/>
            <w:vAlign w:val="center"/>
            <w:tcMar>
              <w:top w:w="54" w:type="dxa"/>
              <w:bottom w:w="54" w:type="dxa"/>
              <w:start w:w="64" w:type="dxa"/>
              <w:end w:w="64" w:type="dxa"/>
            </w:tcMar>
            <w:shd w:fill="EDF4FA"/>
          </w:tcPr>
          <w:p>
            <w:pPr>
              <w:pStyle w:val="TableText"/>
            </w:pPr>
            <w:r/>
            <w:r>
              <w:rPr>
                <w:b w:val="0"/>
              </w:rPr>
              <w:t>Keep the risk state and document counseling, barriers, alternatives, and safety net.</w:t>
            </w:r>
          </w:p>
        </w:tc>
      </w:tr>
    </w:tbl>
    <w:p>
      <w:pPr>
        <w:spacing w:after="20"/>
      </w:pPr>
    </w:p>
    <w:p>
      <w:pPr>
        <w:pStyle w:val="Heading1"/>
      </w:pPr>
      <w:r>
        <w:t>9. Referral and Capability Philosophy</w:t>
      </w:r>
    </w:p>
    <w:p>
      <w:r>
        <w:t>In a lying-in clinic, the meaning of HIGH is closely related to capability. Some patients may be clinically stable but require assessment, monitoring, treatment, operative capacity, blood products, or specialist expertise that the clinic cannot provide. The framework therefore treats referral as an integrated clinical process rather than a printed form.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4" w:type="dxa"/>
              <w:bottom w:w="54" w:type="dxa"/>
              <w:start w:w="64" w:type="dxa"/>
              <w:end w:w="64" w:type="dxa"/>
            </w:tcMar>
            <w:shd w:fill="17365D"/>
          </w:tcPr>
          <w:p>
            <w:pPr>
              <w:pStyle w:val="TableHeader"/>
            </w:pPr>
            <w:r/>
            <w:r>
              <w:rPr>
                <w:b/>
                <w:color w:val="FFFFFF"/>
              </w:rPr>
              <w:t>Referral principle</w:t>
            </w:r>
          </w:p>
        </w:tc>
        <w:tc>
          <w:tcPr>
            <w:tcW w:type="dxa" w:w="7488"/>
            <w:vAlign w:val="center"/>
            <w:tcMar>
              <w:top w:w="54" w:type="dxa"/>
              <w:bottom w:w="54" w:type="dxa"/>
              <w:start w:w="64" w:type="dxa"/>
              <w:end w:w="64" w:type="dxa"/>
            </w:tcMar>
            <w:shd w:fill="17365D"/>
          </w:tcPr>
          <w:p>
            <w:pPr>
              <w:pStyle w:val="TableHeader"/>
            </w:pPr>
            <w:r/>
            <w:r>
              <w:rPr>
                <w:b/>
                <w:color w:val="FFFFFF"/>
              </w:rPr>
              <w:t>Required behavior</w:t>
            </w:r>
          </w:p>
        </w:tc>
      </w:tr>
      <w:tr>
        <w:trPr>
          <w:cantSplit/>
        </w:trPr>
        <w:tc>
          <w:tcPr>
            <w:tcW w:type="dxa" w:w="3024"/>
            <w:vAlign w:val="center"/>
            <w:tcMar>
              <w:top w:w="54" w:type="dxa"/>
              <w:bottom w:w="54" w:type="dxa"/>
              <w:start w:w="64" w:type="dxa"/>
              <w:end w:w="64" w:type="dxa"/>
            </w:tcMar>
          </w:tcPr>
          <w:p>
            <w:pPr>
              <w:pStyle w:val="TableText"/>
            </w:pPr>
            <w:r/>
            <w:r>
              <w:rPr>
                <w:b w:val="0"/>
              </w:rPr>
              <w:t>Capability-based destination</w:t>
            </w:r>
          </w:p>
        </w:tc>
        <w:tc>
          <w:tcPr>
            <w:tcW w:type="dxa" w:w="7488"/>
            <w:vAlign w:val="center"/>
            <w:tcMar>
              <w:top w:w="54" w:type="dxa"/>
              <w:bottom w:w="54" w:type="dxa"/>
              <w:start w:w="64" w:type="dxa"/>
              <w:end w:w="64" w:type="dxa"/>
            </w:tcMar>
          </w:tcPr>
          <w:p>
            <w:pPr>
              <w:pStyle w:val="TableText"/>
            </w:pPr>
            <w:r/>
            <w:r>
              <w:rPr>
                <w:b w:val="0"/>
              </w:rPr>
              <w:t>Recommend the needed capability, then select a maintained appropriate facility.</w:t>
            </w:r>
          </w:p>
        </w:tc>
      </w:tr>
      <w:tr>
        <w:trPr>
          <w:cantSplit/>
        </w:trPr>
        <w:tc>
          <w:tcPr>
            <w:tcW w:type="dxa" w:w="3024"/>
            <w:vAlign w:val="center"/>
            <w:tcMar>
              <w:top w:w="54" w:type="dxa"/>
              <w:bottom w:w="54" w:type="dxa"/>
              <w:start w:w="64" w:type="dxa"/>
              <w:end w:w="64" w:type="dxa"/>
            </w:tcMar>
            <w:shd w:fill="EDF4FA"/>
          </w:tcPr>
          <w:p>
            <w:pPr>
              <w:pStyle w:val="TableText"/>
            </w:pPr>
            <w:r/>
            <w:r>
              <w:rPr>
                <w:b w:val="0"/>
              </w:rPr>
              <w:t>Acceptance confirmation</w:t>
            </w:r>
          </w:p>
        </w:tc>
        <w:tc>
          <w:tcPr>
            <w:tcW w:type="dxa" w:w="7488"/>
            <w:vAlign w:val="center"/>
            <w:tcMar>
              <w:top w:w="54" w:type="dxa"/>
              <w:bottom w:w="54" w:type="dxa"/>
              <w:start w:w="64" w:type="dxa"/>
              <w:end w:w="64" w:type="dxa"/>
            </w:tcMar>
            <w:shd w:fill="EDF4FA"/>
          </w:tcPr>
          <w:p>
            <w:pPr>
              <w:pStyle w:val="TableText"/>
            </w:pPr>
            <w:r/>
            <w:r>
              <w:rPr>
                <w:b w:val="0"/>
              </w:rPr>
              <w:t>Record whether the receiving facility accepted the referral.</w:t>
            </w:r>
          </w:p>
        </w:tc>
      </w:tr>
      <w:tr>
        <w:trPr>
          <w:cantSplit/>
        </w:trPr>
        <w:tc>
          <w:tcPr>
            <w:tcW w:type="dxa" w:w="3024"/>
            <w:vAlign w:val="center"/>
            <w:tcMar>
              <w:top w:w="54" w:type="dxa"/>
              <w:bottom w:w="54" w:type="dxa"/>
              <w:start w:w="64" w:type="dxa"/>
              <w:end w:w="64" w:type="dxa"/>
            </w:tcMar>
          </w:tcPr>
          <w:p>
            <w:pPr>
              <w:pStyle w:val="TableText"/>
            </w:pPr>
            <w:r/>
            <w:r>
              <w:rPr>
                <w:b w:val="0"/>
              </w:rPr>
              <w:t>Transport and handover</w:t>
            </w:r>
          </w:p>
        </w:tc>
        <w:tc>
          <w:tcPr>
            <w:tcW w:type="dxa" w:w="7488"/>
            <w:vAlign w:val="center"/>
            <w:tcMar>
              <w:top w:w="54" w:type="dxa"/>
              <w:bottom w:w="54" w:type="dxa"/>
              <w:start w:w="64" w:type="dxa"/>
              <w:end w:w="64" w:type="dxa"/>
            </w:tcMar>
          </w:tcPr>
          <w:p>
            <w:pPr>
              <w:pStyle w:val="TableText"/>
            </w:pPr>
            <w:r/>
            <w:r>
              <w:rPr>
                <w:b w:val="0"/>
              </w:rPr>
              <w:t>Document method, timing, escort, contact, and essential records.</w:t>
            </w:r>
          </w:p>
        </w:tc>
      </w:tr>
      <w:tr>
        <w:trPr>
          <w:cantSplit/>
        </w:trPr>
        <w:tc>
          <w:tcPr>
            <w:tcW w:type="dxa" w:w="3024"/>
            <w:vAlign w:val="center"/>
            <w:tcMar>
              <w:top w:w="54" w:type="dxa"/>
              <w:bottom w:w="54" w:type="dxa"/>
              <w:start w:w="64" w:type="dxa"/>
              <w:end w:w="64" w:type="dxa"/>
            </w:tcMar>
            <w:shd w:fill="EDF4FA"/>
          </w:tcPr>
          <w:p>
            <w:pPr>
              <w:pStyle w:val="TableText"/>
            </w:pPr>
            <w:r/>
            <w:r>
              <w:rPr>
                <w:b w:val="0"/>
              </w:rPr>
              <w:t>Completion tracking</w:t>
            </w:r>
          </w:p>
        </w:tc>
        <w:tc>
          <w:tcPr>
            <w:tcW w:type="dxa" w:w="7488"/>
            <w:vAlign w:val="center"/>
            <w:tcMar>
              <w:top w:w="54" w:type="dxa"/>
              <w:bottom w:w="54" w:type="dxa"/>
              <w:start w:w="64" w:type="dxa"/>
              <w:end w:w="64" w:type="dxa"/>
            </w:tcMar>
            <w:shd w:fill="EDF4FA"/>
          </w:tcPr>
          <w:p>
            <w:pPr>
              <w:pStyle w:val="TableText"/>
            </w:pPr>
            <w:r/>
            <w:r>
              <w:rPr>
                <w:b w:val="0"/>
              </w:rPr>
              <w:t>Pending is not completed; follow-up continues until disposition is known.</w:t>
            </w:r>
          </w:p>
        </w:tc>
      </w:tr>
      <w:tr>
        <w:trPr>
          <w:cantSplit/>
        </w:trPr>
        <w:tc>
          <w:tcPr>
            <w:tcW w:type="dxa" w:w="3024"/>
            <w:vAlign w:val="center"/>
            <w:tcMar>
              <w:top w:w="54" w:type="dxa"/>
              <w:bottom w:w="54" w:type="dxa"/>
              <w:start w:w="64" w:type="dxa"/>
              <w:end w:w="64" w:type="dxa"/>
            </w:tcMar>
          </w:tcPr>
          <w:p>
            <w:pPr>
              <w:pStyle w:val="TableText"/>
            </w:pPr>
            <w:r/>
            <w:r>
              <w:rPr>
                <w:b w:val="0"/>
              </w:rPr>
              <w:t>Refusal without blame</w:t>
            </w:r>
          </w:p>
        </w:tc>
        <w:tc>
          <w:tcPr>
            <w:tcW w:type="dxa" w:w="7488"/>
            <w:vAlign w:val="center"/>
            <w:tcMar>
              <w:top w:w="54" w:type="dxa"/>
              <w:bottom w:w="54" w:type="dxa"/>
              <w:start w:w="64" w:type="dxa"/>
              <w:end w:w="64" w:type="dxa"/>
            </w:tcMar>
          </w:tcPr>
          <w:p>
            <w:pPr>
              <w:pStyle w:val="TableText"/>
            </w:pPr>
            <w:r/>
            <w:r>
              <w:rPr>
                <w:b w:val="0"/>
              </w:rPr>
              <w:t>Document informed discussion and unresolved risk; do not downgrade HIGH.</w:t>
            </w:r>
          </w:p>
        </w:tc>
      </w:tr>
      <w:tr>
        <w:trPr>
          <w:cantSplit/>
        </w:trPr>
        <w:tc>
          <w:tcPr>
            <w:tcW w:type="dxa" w:w="3024"/>
            <w:vAlign w:val="center"/>
            <w:tcMar>
              <w:top w:w="54" w:type="dxa"/>
              <w:bottom w:w="54" w:type="dxa"/>
              <w:start w:w="64" w:type="dxa"/>
              <w:end w:w="64" w:type="dxa"/>
            </w:tcMar>
            <w:shd w:fill="EDF4FA"/>
          </w:tcPr>
          <w:p>
            <w:pPr>
              <w:pStyle w:val="TableText"/>
            </w:pPr>
            <w:r/>
            <w:r>
              <w:rPr>
                <w:b w:val="0"/>
              </w:rPr>
              <w:t>Emergency transfer</w:t>
            </w:r>
          </w:p>
        </w:tc>
        <w:tc>
          <w:tcPr>
            <w:tcW w:type="dxa" w:w="7488"/>
            <w:vAlign w:val="center"/>
            <w:tcMar>
              <w:top w:w="54" w:type="dxa"/>
              <w:bottom w:w="54" w:type="dxa"/>
              <w:start w:w="64" w:type="dxa"/>
              <w:end w:w="64" w:type="dxa"/>
            </w:tcMar>
            <w:shd w:fill="EDF4FA"/>
          </w:tcPr>
          <w:p>
            <w:pPr>
              <w:pStyle w:val="TableText"/>
            </w:pPr>
            <w:r/>
            <w:r>
              <w:rPr>
                <w:b w:val="0"/>
              </w:rPr>
              <w:t>Do not delay for routine software completion or nonessential documentation.</w:t>
            </w:r>
          </w:p>
        </w:tc>
      </w:tr>
      <w:tr>
        <w:trPr>
          <w:cantSplit/>
        </w:trPr>
        <w:tc>
          <w:tcPr>
            <w:tcW w:type="dxa" w:w="3024"/>
            <w:vAlign w:val="center"/>
            <w:tcMar>
              <w:top w:w="54" w:type="dxa"/>
              <w:bottom w:w="54" w:type="dxa"/>
              <w:start w:w="64" w:type="dxa"/>
              <w:end w:w="64" w:type="dxa"/>
            </w:tcMar>
          </w:tcPr>
          <w:p>
            <w:pPr>
              <w:pStyle w:val="TableText"/>
            </w:pPr>
            <w:r/>
            <w:r>
              <w:rPr>
                <w:b w:val="0"/>
              </w:rPr>
              <w:t>Feedback loop</w:t>
            </w:r>
          </w:p>
        </w:tc>
        <w:tc>
          <w:tcPr>
            <w:tcW w:type="dxa" w:w="7488"/>
            <w:vAlign w:val="center"/>
            <w:tcMar>
              <w:top w:w="54" w:type="dxa"/>
              <w:bottom w:w="54" w:type="dxa"/>
              <w:start w:w="64" w:type="dxa"/>
              <w:end w:w="64" w:type="dxa"/>
            </w:tcMar>
          </w:tcPr>
          <w:p>
            <w:pPr>
              <w:pStyle w:val="TableText"/>
            </w:pPr>
            <w:r/>
            <w:r>
              <w:rPr>
                <w:b w:val="0"/>
              </w:rPr>
              <w:t>Record the receiving clinician's plan when available.</w:t>
            </w:r>
          </w:p>
        </w:tc>
      </w:tr>
      <w:tr>
        <w:trPr>
          <w:cantSplit/>
        </w:trPr>
        <w:tc>
          <w:tcPr>
            <w:tcW w:type="dxa" w:w="3024"/>
            <w:vAlign w:val="center"/>
            <w:tcMar>
              <w:top w:w="54" w:type="dxa"/>
              <w:bottom w:w="54" w:type="dxa"/>
              <w:start w:w="64" w:type="dxa"/>
              <w:end w:w="64" w:type="dxa"/>
            </w:tcMar>
            <w:shd w:fill="EDF4FA"/>
          </w:tcPr>
          <w:p>
            <w:pPr>
              <w:pStyle w:val="TableText"/>
            </w:pPr>
            <w:r/>
            <w:r>
              <w:rPr>
                <w:b w:val="0"/>
              </w:rPr>
              <w:t>Local validation</w:t>
            </w:r>
          </w:p>
        </w:tc>
        <w:tc>
          <w:tcPr>
            <w:tcW w:type="dxa" w:w="7488"/>
            <w:vAlign w:val="center"/>
            <w:tcMar>
              <w:top w:w="54" w:type="dxa"/>
              <w:bottom w:w="54" w:type="dxa"/>
              <w:start w:w="64" w:type="dxa"/>
              <w:end w:w="64" w:type="dxa"/>
            </w:tcMar>
            <w:shd w:fill="EDF4FA"/>
          </w:tcPr>
          <w:p>
            <w:pPr>
              <w:pStyle w:val="TableText"/>
            </w:pPr>
            <w:r/>
            <w:r>
              <w:rPr>
                <w:b w:val="0"/>
              </w:rPr>
              <w:t>Verify that the pathway works in the actual Philippine clinic context.</w:t>
            </w:r>
          </w:p>
        </w:tc>
      </w:tr>
    </w:tbl>
    <w:p>
      <w:pPr>
        <w:spacing w:after="20"/>
      </w:pPr>
    </w:p>
    <w:p>
      <w:pPr>
        <w:pStyle w:val="Heading1"/>
      </w:pPr>
      <w:r>
        <w:t>10. Explainability as a Safety Function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4" w:type="dxa"/>
              <w:bottom w:w="54" w:type="dxa"/>
              <w:start w:w="64" w:type="dxa"/>
              <w:end w:w="64" w:type="dxa"/>
            </w:tcMar>
            <w:shd w:fill="17365D"/>
          </w:tcPr>
          <w:p>
            <w:pPr>
              <w:pStyle w:val="TableHeader"/>
            </w:pPr>
            <w:r/>
            <w:r>
              <w:rPr>
                <w:b/>
                <w:color w:val="FFFFFF"/>
              </w:rPr>
              <w:t>Explanation requirement</w:t>
            </w:r>
          </w:p>
        </w:tc>
        <w:tc>
          <w:tcPr>
            <w:tcW w:type="dxa" w:w="7488"/>
            <w:vAlign w:val="center"/>
            <w:tcMar>
              <w:top w:w="54" w:type="dxa"/>
              <w:bottom w:w="54" w:type="dxa"/>
              <w:start w:w="64" w:type="dxa"/>
              <w:end w:w="64" w:type="dxa"/>
            </w:tcMar>
            <w:shd w:fill="17365D"/>
          </w:tcPr>
          <w:p>
            <w:pPr>
              <w:pStyle w:val="TableHeader"/>
            </w:pPr>
            <w:r/>
            <w:r>
              <w:rPr>
                <w:b/>
                <w:color w:val="FFFFFF"/>
              </w:rPr>
              <w:t>Why it matters</w:t>
            </w:r>
          </w:p>
        </w:tc>
      </w:tr>
      <w:tr>
        <w:trPr>
          <w:cantSplit/>
        </w:trPr>
        <w:tc>
          <w:tcPr>
            <w:tcW w:type="dxa" w:w="3024"/>
            <w:vAlign w:val="center"/>
            <w:tcMar>
              <w:top w:w="54" w:type="dxa"/>
              <w:bottom w:w="54" w:type="dxa"/>
              <w:start w:w="64" w:type="dxa"/>
              <w:end w:w="64" w:type="dxa"/>
            </w:tcMar>
          </w:tcPr>
          <w:p>
            <w:pPr>
              <w:pStyle w:val="TableText"/>
            </w:pPr>
            <w:r/>
            <w:r>
              <w:rPr>
                <w:b w:val="0"/>
              </w:rPr>
              <w:t>Patient-specific inputs</w:t>
            </w:r>
          </w:p>
        </w:tc>
        <w:tc>
          <w:tcPr>
            <w:tcW w:type="dxa" w:w="7488"/>
            <w:vAlign w:val="center"/>
            <w:tcMar>
              <w:top w:w="54" w:type="dxa"/>
              <w:bottom w:w="54" w:type="dxa"/>
              <w:start w:w="64" w:type="dxa"/>
              <w:end w:w="64" w:type="dxa"/>
            </w:tcMar>
          </w:tcPr>
          <w:p>
            <w:pPr>
              <w:pStyle w:val="TableText"/>
            </w:pPr>
            <w:r/>
            <w:r>
              <w:rPr>
                <w:b w:val="0"/>
              </w:rPr>
              <w:t>Allows verification of the underlying record.</w:t>
            </w:r>
          </w:p>
        </w:tc>
      </w:tr>
      <w:tr>
        <w:trPr>
          <w:cantSplit/>
        </w:trPr>
        <w:tc>
          <w:tcPr>
            <w:tcW w:type="dxa" w:w="3024"/>
            <w:vAlign w:val="center"/>
            <w:tcMar>
              <w:top w:w="54" w:type="dxa"/>
              <w:bottom w:w="54" w:type="dxa"/>
              <w:start w:w="64" w:type="dxa"/>
              <w:end w:w="64" w:type="dxa"/>
            </w:tcMar>
            <w:shd w:fill="EDF4FA"/>
          </w:tcPr>
          <w:p>
            <w:pPr>
              <w:pStyle w:val="TableText"/>
            </w:pPr>
            <w:r/>
            <w:r>
              <w:rPr>
                <w:b w:val="0"/>
              </w:rPr>
              <w:t>Rule identifiers and thresholds</w:t>
            </w:r>
          </w:p>
        </w:tc>
        <w:tc>
          <w:tcPr>
            <w:tcW w:type="dxa" w:w="7488"/>
            <w:vAlign w:val="center"/>
            <w:tcMar>
              <w:top w:w="54" w:type="dxa"/>
              <w:bottom w:w="54" w:type="dxa"/>
              <w:start w:w="64" w:type="dxa"/>
              <w:end w:w="64" w:type="dxa"/>
            </w:tcMar>
            <w:shd w:fill="EDF4FA"/>
          </w:tcPr>
          <w:p>
            <w:pPr>
              <w:pStyle w:val="TableText"/>
            </w:pPr>
            <w:r/>
            <w:r>
              <w:rPr>
                <w:b w:val="0"/>
              </w:rPr>
              <w:t>Shows exactly why deterministic logic activated.</w:t>
            </w:r>
          </w:p>
        </w:tc>
      </w:tr>
      <w:tr>
        <w:trPr>
          <w:cantSplit/>
        </w:trPr>
        <w:tc>
          <w:tcPr>
            <w:tcW w:type="dxa" w:w="3024"/>
            <w:vAlign w:val="center"/>
            <w:tcMar>
              <w:top w:w="54" w:type="dxa"/>
              <w:bottom w:w="54" w:type="dxa"/>
              <w:start w:w="64" w:type="dxa"/>
              <w:end w:w="64" w:type="dxa"/>
            </w:tcMar>
          </w:tcPr>
          <w:p>
            <w:pPr>
              <w:pStyle w:val="TableText"/>
            </w:pPr>
            <w:r/>
            <w:r>
              <w:rPr>
                <w:b w:val="0"/>
              </w:rPr>
              <w:t>ML status and version</w:t>
            </w:r>
          </w:p>
        </w:tc>
        <w:tc>
          <w:tcPr>
            <w:tcW w:type="dxa" w:w="7488"/>
            <w:vAlign w:val="center"/>
            <w:tcMar>
              <w:top w:w="54" w:type="dxa"/>
              <w:bottom w:w="54" w:type="dxa"/>
              <w:start w:w="64" w:type="dxa"/>
              <w:end w:w="64" w:type="dxa"/>
            </w:tcMar>
          </w:tcPr>
          <w:p>
            <w:pPr>
              <w:pStyle w:val="TableText"/>
            </w:pPr>
            <w:r/>
            <w:r>
              <w:rPr>
                <w:b w:val="0"/>
              </w:rPr>
              <w:t>Prevents the model from becoming an invisible authority.</w:t>
            </w:r>
          </w:p>
        </w:tc>
      </w:tr>
      <w:tr>
        <w:trPr>
          <w:cantSplit/>
        </w:trPr>
        <w:tc>
          <w:tcPr>
            <w:tcW w:type="dxa" w:w="3024"/>
            <w:vAlign w:val="center"/>
            <w:tcMar>
              <w:top w:w="54" w:type="dxa"/>
              <w:bottom w:w="54" w:type="dxa"/>
              <w:start w:w="64" w:type="dxa"/>
              <w:end w:w="64" w:type="dxa"/>
            </w:tcMar>
            <w:shd w:fill="EDF4FA"/>
          </w:tcPr>
          <w:p>
            <w:pPr>
              <w:pStyle w:val="TableText"/>
            </w:pPr>
            <w:r/>
            <w:r>
              <w:rPr>
                <w:b w:val="0"/>
              </w:rPr>
              <w:t>Decision precedence</w:t>
            </w:r>
          </w:p>
        </w:tc>
        <w:tc>
          <w:tcPr>
            <w:tcW w:type="dxa" w:w="7488"/>
            <w:vAlign w:val="center"/>
            <w:tcMar>
              <w:top w:w="54" w:type="dxa"/>
              <w:bottom w:w="54" w:type="dxa"/>
              <w:start w:w="64" w:type="dxa"/>
              <w:end w:w="64" w:type="dxa"/>
            </w:tcMar>
            <w:shd w:fill="EDF4FA"/>
          </w:tcPr>
          <w:p>
            <w:pPr>
              <w:pStyle w:val="TableText"/>
            </w:pPr>
            <w:r/>
            <w:r>
              <w:rPr>
                <w:b w:val="0"/>
              </w:rPr>
              <w:t>Explains why rules overrode ML or why incomplete prevented LOW.</w:t>
            </w:r>
          </w:p>
        </w:tc>
      </w:tr>
      <w:tr>
        <w:trPr>
          <w:cantSplit/>
        </w:trPr>
        <w:tc>
          <w:tcPr>
            <w:tcW w:type="dxa" w:w="3024"/>
            <w:vAlign w:val="center"/>
            <w:tcMar>
              <w:top w:w="54" w:type="dxa"/>
              <w:bottom w:w="54" w:type="dxa"/>
              <w:start w:w="64" w:type="dxa"/>
              <w:end w:w="64" w:type="dxa"/>
            </w:tcMar>
          </w:tcPr>
          <w:p>
            <w:pPr>
              <w:pStyle w:val="TableText"/>
            </w:pPr>
            <w:r/>
            <w:r>
              <w:rPr>
                <w:b w:val="0"/>
              </w:rPr>
              <w:t>Data gaps</w:t>
            </w:r>
          </w:p>
        </w:tc>
        <w:tc>
          <w:tcPr>
            <w:tcW w:type="dxa" w:w="7488"/>
            <w:vAlign w:val="center"/>
            <w:tcMar>
              <w:top w:w="54" w:type="dxa"/>
              <w:bottom w:w="54" w:type="dxa"/>
              <w:start w:w="64" w:type="dxa"/>
              <w:end w:w="64" w:type="dxa"/>
            </w:tcMar>
          </w:tcPr>
          <w:p>
            <w:pPr>
              <w:pStyle w:val="TableText"/>
            </w:pPr>
            <w:r/>
            <w:r>
              <w:rPr>
                <w:b w:val="0"/>
              </w:rPr>
              <w:t>Prevents false reassurance.</w:t>
            </w:r>
          </w:p>
        </w:tc>
      </w:tr>
      <w:tr>
        <w:trPr>
          <w:cantSplit/>
        </w:trPr>
        <w:tc>
          <w:tcPr>
            <w:tcW w:type="dxa" w:w="3024"/>
            <w:vAlign w:val="center"/>
            <w:tcMar>
              <w:top w:w="54" w:type="dxa"/>
              <w:bottom w:w="54" w:type="dxa"/>
              <w:start w:w="64" w:type="dxa"/>
              <w:end w:w="64" w:type="dxa"/>
            </w:tcMar>
            <w:shd w:fill="EDF4FA"/>
          </w:tcPr>
          <w:p>
            <w:pPr>
              <w:pStyle w:val="TableText"/>
            </w:pPr>
            <w:r/>
            <w:r>
              <w:rPr>
                <w:b w:val="0"/>
              </w:rPr>
              <w:t>Recommendation and urgency</w:t>
            </w:r>
          </w:p>
        </w:tc>
        <w:tc>
          <w:tcPr>
            <w:tcW w:type="dxa" w:w="7488"/>
            <w:vAlign w:val="center"/>
            <w:tcMar>
              <w:top w:w="54" w:type="dxa"/>
              <w:bottom w:w="54" w:type="dxa"/>
              <w:start w:w="64" w:type="dxa"/>
              <w:end w:w="64" w:type="dxa"/>
            </w:tcMar>
            <w:shd w:fill="EDF4FA"/>
          </w:tcPr>
          <w:p>
            <w:pPr>
              <w:pStyle w:val="TableText"/>
            </w:pPr>
            <w:r/>
            <w:r>
              <w:rPr>
                <w:b w:val="0"/>
              </w:rPr>
              <w:t>Connects reasoning to action.</w:t>
            </w:r>
          </w:p>
        </w:tc>
      </w:tr>
      <w:tr>
        <w:trPr>
          <w:cantSplit/>
        </w:trPr>
        <w:tc>
          <w:tcPr>
            <w:tcW w:type="dxa" w:w="3024"/>
            <w:vAlign w:val="center"/>
            <w:tcMar>
              <w:top w:w="54" w:type="dxa"/>
              <w:bottom w:w="54" w:type="dxa"/>
              <w:start w:w="64" w:type="dxa"/>
              <w:end w:w="64" w:type="dxa"/>
            </w:tcMar>
          </w:tcPr>
          <w:p>
            <w:pPr>
              <w:pStyle w:val="TableText"/>
            </w:pPr>
            <w:r/>
            <w:r>
              <w:rPr>
                <w:b w:val="0"/>
              </w:rPr>
              <w:t>Limitations</w:t>
            </w:r>
          </w:p>
        </w:tc>
        <w:tc>
          <w:tcPr>
            <w:tcW w:type="dxa" w:w="7488"/>
            <w:vAlign w:val="center"/>
            <w:tcMar>
              <w:top w:w="54" w:type="dxa"/>
              <w:bottom w:w="54" w:type="dxa"/>
              <w:start w:w="64" w:type="dxa"/>
              <w:end w:w="64" w:type="dxa"/>
            </w:tcMar>
          </w:tcPr>
          <w:p>
            <w:pPr>
              <w:pStyle w:val="TableText"/>
            </w:pPr>
            <w:r/>
            <w:r>
              <w:rPr>
                <w:b w:val="0"/>
              </w:rPr>
              <w:t>Prevents diagnostic and treatment overreach.</w:t>
            </w:r>
          </w:p>
        </w:tc>
      </w:tr>
      <w:tr>
        <w:trPr>
          <w:cantSplit/>
        </w:trPr>
        <w:tc>
          <w:tcPr>
            <w:tcW w:type="dxa" w:w="3024"/>
            <w:vAlign w:val="center"/>
            <w:tcMar>
              <w:top w:w="54" w:type="dxa"/>
              <w:bottom w:w="54" w:type="dxa"/>
              <w:start w:w="64" w:type="dxa"/>
              <w:end w:w="64" w:type="dxa"/>
            </w:tcMar>
            <w:shd w:fill="EDF4FA"/>
          </w:tcPr>
          <w:p>
            <w:pPr>
              <w:pStyle w:val="TableText"/>
            </w:pPr>
            <w:r/>
            <w:r>
              <w:rPr>
                <w:b w:val="0"/>
              </w:rPr>
              <w:t>Evidence provenance</w:t>
            </w:r>
          </w:p>
        </w:tc>
        <w:tc>
          <w:tcPr>
            <w:tcW w:type="dxa" w:w="7488"/>
            <w:vAlign w:val="center"/>
            <w:tcMar>
              <w:top w:w="54" w:type="dxa"/>
              <w:bottom w:w="54" w:type="dxa"/>
              <w:start w:w="64" w:type="dxa"/>
              <w:end w:w="64" w:type="dxa"/>
            </w:tcMar>
            <w:shd w:fill="EDF4FA"/>
          </w:tcPr>
          <w:p>
            <w:pPr>
              <w:pStyle w:val="TableText"/>
            </w:pPr>
            <w:r/>
            <w:r>
              <w:rPr>
                <w:b w:val="0"/>
              </w:rPr>
              <w:t>Allows clinical and academic review.</w:t>
            </w:r>
          </w:p>
        </w:tc>
      </w:tr>
      <w:tr>
        <w:trPr>
          <w:cantSplit/>
        </w:trPr>
        <w:tc>
          <w:tcPr>
            <w:tcW w:type="dxa" w:w="3024"/>
            <w:vAlign w:val="center"/>
            <w:tcMar>
              <w:top w:w="54" w:type="dxa"/>
              <w:bottom w:w="54" w:type="dxa"/>
              <w:start w:w="64" w:type="dxa"/>
              <w:end w:w="64" w:type="dxa"/>
            </w:tcMar>
          </w:tcPr>
          <w:p>
            <w:pPr>
              <w:pStyle w:val="TableText"/>
            </w:pPr>
            <w:r/>
            <w:r>
              <w:rPr>
                <w:b w:val="0"/>
              </w:rPr>
              <w:t>Audience-specific language</w:t>
            </w:r>
          </w:p>
        </w:tc>
        <w:tc>
          <w:tcPr>
            <w:tcW w:type="dxa" w:w="7488"/>
            <w:vAlign w:val="center"/>
            <w:tcMar>
              <w:top w:w="54" w:type="dxa"/>
              <w:bottom w:w="54" w:type="dxa"/>
              <w:start w:w="64" w:type="dxa"/>
              <w:end w:w="64" w:type="dxa"/>
            </w:tcMar>
          </w:tcPr>
          <w:p>
            <w:pPr>
              <w:pStyle w:val="TableText"/>
            </w:pPr>
            <w:r/>
            <w:r>
              <w:rPr>
                <w:b w:val="0"/>
              </w:rPr>
              <w:t>Supports both professional review and patient understanding.</w:t>
            </w:r>
          </w:p>
        </w:tc>
      </w:tr>
      <w:tr>
        <w:trPr>
          <w:cantSplit/>
        </w:trPr>
        <w:tc>
          <w:tcPr>
            <w:tcW w:type="dxa" w:w="3024"/>
            <w:vAlign w:val="center"/>
            <w:tcMar>
              <w:top w:w="54" w:type="dxa"/>
              <w:bottom w:w="54" w:type="dxa"/>
              <w:start w:w="64" w:type="dxa"/>
              <w:end w:w="64" w:type="dxa"/>
            </w:tcMar>
            <w:shd w:fill="EDF4FA"/>
          </w:tcPr>
          <w:p>
            <w:pPr>
              <w:pStyle w:val="TableText"/>
            </w:pPr>
            <w:r/>
            <w:r>
              <w:rPr>
                <w:b w:val="0"/>
              </w:rPr>
              <w:t>Audit snapshot</w:t>
            </w:r>
          </w:p>
        </w:tc>
        <w:tc>
          <w:tcPr>
            <w:tcW w:type="dxa" w:w="7488"/>
            <w:vAlign w:val="center"/>
            <w:tcMar>
              <w:top w:w="54" w:type="dxa"/>
              <w:bottom w:w="54" w:type="dxa"/>
              <w:start w:w="64" w:type="dxa"/>
              <w:end w:w="64" w:type="dxa"/>
            </w:tcMar>
            <w:shd w:fill="EDF4FA"/>
          </w:tcPr>
          <w:p>
            <w:pPr>
              <w:pStyle w:val="TableText"/>
            </w:pPr>
            <w:r/>
            <w:r>
              <w:rPr>
                <w:b w:val="0"/>
              </w:rPr>
              <w:t>Allows later reconstruction after data or logic changes.</w:t>
            </w:r>
          </w:p>
        </w:tc>
      </w:tr>
    </w:tbl>
    <w:p>
      <w:pPr>
        <w:spacing w:after="20"/>
      </w:pPr>
    </w:p>
    <w:p>
      <w:pPr>
        <w:pStyle w:val="Heading1"/>
      </w:pPr>
      <w:r>
        <w:t>11. Equity, Respect, and Non-Stigmatizing Design</w:t>
      </w:r>
    </w:p>
    <w:p>
      <w:pPr>
        <w:pStyle w:val="ListBullet"/>
        <w:spacing w:after="36"/>
      </w:pPr>
      <w:r>
        <w:t>Age, diabetes, anemia, previous pregnancy loss, and referral refusal must not be described in blaming or deterministic language.</w:t>
      </w:r>
    </w:p>
    <w:p>
      <w:pPr>
        <w:pStyle w:val="ListBullet"/>
        <w:spacing w:after="36"/>
      </w:pPr>
      <w:r>
        <w:t>The framework must not assume that a patient who cannot complete a referral is noncompliant; cost, transport, caregiving, language, and facility access may be barriers.</w:t>
      </w:r>
    </w:p>
    <w:p>
      <w:pPr>
        <w:pStyle w:val="ListBullet"/>
        <w:spacing w:after="36"/>
      </w:pPr>
      <w:r>
        <w:t>Incomplete records may occur more often among patients with fewer resources; incomplete must prompt support rather than punishment.</w:t>
      </w:r>
    </w:p>
    <w:p>
      <w:pPr>
        <w:pStyle w:val="ListBullet"/>
        <w:spacing w:after="36"/>
      </w:pPr>
      <w:r>
        <w:t>Patient-facing explanations should be understandable at the patient's health-literacy level and clinically reviewed in any translated version.</w:t>
      </w:r>
    </w:p>
    <w:p>
      <w:pPr>
        <w:pStyle w:val="ListBullet"/>
        <w:spacing w:after="36"/>
      </w:pPr>
      <w:r>
        <w:t>Subgroup performance and referral completion should be monitored so that the framework does not create unequal false reassurance or access burdens.</w:t>
      </w:r>
    </w:p>
    <w:p>
      <w:pPr>
        <w:pStyle w:val="ListBullet"/>
        <w:spacing w:after="36"/>
      </w:pPr>
      <w:r>
        <w:t>Sensitive reproductive information must be displayed only to authorized users and communicated discreetly.</w:t>
      </w:r>
    </w:p>
    <w:p>
      <w:pPr>
        <w:pStyle w:val="Heading1"/>
      </w:pPr>
      <w:r>
        <w:t>12. Relationship to Documents 1-4 and Future Documents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032"/>
            <w:vAlign w:val="center"/>
            <w:tcMar>
              <w:top w:w="54" w:type="dxa"/>
              <w:bottom w:w="54" w:type="dxa"/>
              <w:start w:w="64" w:type="dxa"/>
              <w:end w:w="64" w:type="dxa"/>
            </w:tcMar>
            <w:shd w:fill="17365D"/>
          </w:tcPr>
          <w:p>
            <w:pPr>
              <w:pStyle w:val="TableHeader"/>
            </w:pPr>
            <w:r/>
            <w:r>
              <w:rPr>
                <w:b/>
                <w:color w:val="FFFFFF"/>
              </w:rPr>
              <w:t>Document</w:t>
            </w:r>
          </w:p>
        </w:tc>
        <w:tc>
          <w:tcPr>
            <w:tcW w:type="dxa" w:w="6480"/>
            <w:vAlign w:val="center"/>
            <w:tcMar>
              <w:top w:w="54" w:type="dxa"/>
              <w:bottom w:w="54" w:type="dxa"/>
              <w:start w:w="64" w:type="dxa"/>
              <w:end w:w="64" w:type="dxa"/>
            </w:tcMar>
            <w:shd w:fill="17365D"/>
          </w:tcPr>
          <w:p>
            <w:pPr>
              <w:pStyle w:val="TableHeader"/>
            </w:pPr>
            <w:r/>
            <w:r>
              <w:rPr>
                <w:b/>
                <w:color w:val="FFFFFF"/>
              </w:rPr>
              <w:t>Relationship to Document 5</w:t>
            </w:r>
          </w:p>
        </w:tc>
      </w:tr>
      <w:tr>
        <w:trPr>
          <w:cantSplit/>
        </w:trPr>
        <w:tc>
          <w:tcPr>
            <w:tcW w:type="dxa" w:w="4032"/>
            <w:vAlign w:val="center"/>
            <w:tcMar>
              <w:top w:w="54" w:type="dxa"/>
              <w:bottom w:w="54" w:type="dxa"/>
              <w:start w:w="64" w:type="dxa"/>
              <w:end w:w="64" w:type="dxa"/>
            </w:tcMar>
          </w:tcPr>
          <w:p>
            <w:pPr>
              <w:pStyle w:val="TableText"/>
            </w:pPr>
            <w:r/>
            <w:r>
              <w:rPr>
                <w:b w:val="0"/>
              </w:rPr>
              <w:t>Document 1 - Clinical Knowledge Base</w:t>
            </w:r>
          </w:p>
        </w:tc>
        <w:tc>
          <w:tcPr>
            <w:tcW w:type="dxa" w:w="6480"/>
            <w:vAlign w:val="center"/>
            <w:tcMar>
              <w:top w:w="54" w:type="dxa"/>
              <w:bottom w:w="54" w:type="dxa"/>
              <w:start w:w="64" w:type="dxa"/>
              <w:end w:w="64" w:type="dxa"/>
            </w:tcMar>
          </w:tcPr>
          <w:p>
            <w:pPr>
              <w:pStyle w:val="TableText"/>
            </w:pPr>
            <w:r/>
            <w:r>
              <w:rPr>
                <w:b w:val="0"/>
              </w:rPr>
              <w:t>Supplies the broader clinical concepts and terminology used by the framework.</w:t>
            </w:r>
          </w:p>
        </w:tc>
      </w:tr>
      <w:tr>
        <w:trPr>
          <w:cantSplit/>
        </w:trPr>
        <w:tc>
          <w:tcPr>
            <w:tcW w:type="dxa" w:w="4032"/>
            <w:vAlign w:val="center"/>
            <w:tcMar>
              <w:top w:w="54" w:type="dxa"/>
              <w:bottom w:w="54" w:type="dxa"/>
              <w:start w:w="64" w:type="dxa"/>
              <w:end w:w="64" w:type="dxa"/>
            </w:tcMar>
            <w:shd w:fill="EDF4FA"/>
          </w:tcPr>
          <w:p>
            <w:pPr>
              <w:pStyle w:val="TableText"/>
            </w:pPr>
            <w:r/>
            <w:r>
              <w:rPr>
                <w:b w:val="0"/>
              </w:rPr>
              <w:t>Document 2 - Clinical Decision Support Decision Engine</w:t>
            </w:r>
          </w:p>
        </w:tc>
        <w:tc>
          <w:tcPr>
            <w:tcW w:type="dxa" w:w="6480"/>
            <w:vAlign w:val="center"/>
            <w:tcMar>
              <w:top w:w="54" w:type="dxa"/>
              <w:bottom w:w="54" w:type="dxa"/>
              <w:start w:w="64" w:type="dxa"/>
              <w:end w:w="64" w:type="dxa"/>
            </w:tcMar>
            <w:shd w:fill="EDF4FA"/>
          </w:tcPr>
          <w:p>
            <w:pPr>
              <w:pStyle w:val="TableText"/>
            </w:pPr>
            <w:r/>
            <w:r>
              <w:rPr>
                <w:b w:val="0"/>
              </w:rPr>
              <w:t>Defines the operational decision-engine architecture that the risk framework organizes.</w:t>
            </w:r>
          </w:p>
        </w:tc>
      </w:tr>
      <w:tr>
        <w:trPr>
          <w:cantSplit/>
        </w:trPr>
        <w:tc>
          <w:tcPr>
            <w:tcW w:type="dxa" w:w="4032"/>
            <w:vAlign w:val="center"/>
            <w:tcMar>
              <w:top w:w="54" w:type="dxa"/>
              <w:bottom w:w="54" w:type="dxa"/>
              <w:start w:w="64" w:type="dxa"/>
              <w:end w:w="64" w:type="dxa"/>
            </w:tcMar>
          </w:tcPr>
          <w:p>
            <w:pPr>
              <w:pStyle w:val="TableText"/>
            </w:pPr>
            <w:r/>
            <w:r>
              <w:rPr>
                <w:b w:val="0"/>
              </w:rPr>
              <w:t>Document 3 - ML Integration, Validation, and Governance</w:t>
            </w:r>
          </w:p>
        </w:tc>
        <w:tc>
          <w:tcPr>
            <w:tcW w:type="dxa" w:w="6480"/>
            <w:vAlign w:val="center"/>
            <w:tcMar>
              <w:top w:w="54" w:type="dxa"/>
              <w:bottom w:w="54" w:type="dxa"/>
              <w:start w:w="64" w:type="dxa"/>
              <w:end w:w="64" w:type="dxa"/>
            </w:tcMar>
          </w:tcPr>
          <w:p>
            <w:pPr>
              <w:pStyle w:val="TableText"/>
            </w:pPr>
            <w:r/>
            <w:r>
              <w:rPr>
                <w:b w:val="0"/>
              </w:rPr>
              <w:t>Defines the Random Forest lifecycle, inference contract, validation, and model governance.</w:t>
            </w:r>
          </w:p>
        </w:tc>
      </w:tr>
      <w:tr>
        <w:trPr>
          <w:cantSplit/>
        </w:trPr>
        <w:tc>
          <w:tcPr>
            <w:tcW w:type="dxa" w:w="4032"/>
            <w:vAlign w:val="center"/>
            <w:tcMar>
              <w:top w:w="54" w:type="dxa"/>
              <w:bottom w:w="54" w:type="dxa"/>
              <w:start w:w="64" w:type="dxa"/>
              <w:end w:w="64" w:type="dxa"/>
            </w:tcMar>
            <w:shd w:fill="EDF4FA"/>
          </w:tcPr>
          <w:p>
            <w:pPr>
              <w:pStyle w:val="TableText"/>
            </w:pPr>
            <w:r/>
            <w:r>
              <w:rPr>
                <w:b w:val="0"/>
              </w:rPr>
              <w:t>Document 4 - Clinical Evidence Specification</w:t>
            </w:r>
          </w:p>
        </w:tc>
        <w:tc>
          <w:tcPr>
            <w:tcW w:type="dxa" w:w="6480"/>
            <w:vAlign w:val="center"/>
            <w:tcMar>
              <w:top w:w="54" w:type="dxa"/>
              <w:bottom w:w="54" w:type="dxa"/>
              <w:start w:w="64" w:type="dxa"/>
              <w:end w:w="64" w:type="dxa"/>
            </w:tcMar>
            <w:shd w:fill="EDF4FA"/>
          </w:tcPr>
          <w:p>
            <w:pPr>
              <w:pStyle w:val="TableText"/>
            </w:pPr>
            <w:r/>
            <w:r>
              <w:rPr>
                <w:b w:val="0"/>
              </w:rPr>
              <w:t>Provides the evidence and clinical justification for rules, interactions, recommendations, explanations, and validation.</w:t>
            </w:r>
          </w:p>
        </w:tc>
      </w:tr>
      <w:tr>
        <w:trPr>
          <w:cantSplit/>
        </w:trPr>
        <w:tc>
          <w:tcPr>
            <w:tcW w:type="dxa" w:w="4032"/>
            <w:vAlign w:val="center"/>
            <w:tcMar>
              <w:top w:w="54" w:type="dxa"/>
              <w:bottom w:w="54" w:type="dxa"/>
              <w:start w:w="64" w:type="dxa"/>
              <w:end w:w="64" w:type="dxa"/>
            </w:tcMar>
          </w:tcPr>
          <w:p>
            <w:pPr>
              <w:pStyle w:val="TableText"/>
            </w:pPr>
            <w:r/>
            <w:r>
              <w:rPr>
                <w:b w:val="0"/>
              </w:rPr>
              <w:t>Document 5 - Risk Index Framework</w:t>
            </w:r>
          </w:p>
        </w:tc>
        <w:tc>
          <w:tcPr>
            <w:tcW w:type="dxa" w:w="6480"/>
            <w:vAlign w:val="center"/>
            <w:tcMar>
              <w:top w:w="54" w:type="dxa"/>
              <w:bottom w:w="54" w:type="dxa"/>
              <w:start w:w="64" w:type="dxa"/>
              <w:end w:w="64" w:type="dxa"/>
            </w:tcMar>
          </w:tcPr>
          <w:p>
            <w:pPr>
              <w:pStyle w:val="TableText"/>
            </w:pPr>
            <w:r/>
            <w:r>
              <w:rPr>
                <w:b w:val="0"/>
              </w:rPr>
              <w:t>Integrates those components into one coherent assessment-state and risk-management architecture.</w:t>
            </w:r>
          </w:p>
        </w:tc>
      </w:tr>
      <w:tr>
        <w:trPr>
          <w:cantSplit/>
        </w:trPr>
        <w:tc>
          <w:tcPr>
            <w:tcW w:type="dxa" w:w="4032"/>
            <w:vAlign w:val="center"/>
            <w:tcMar>
              <w:top w:w="54" w:type="dxa"/>
              <w:bottom w:w="54" w:type="dxa"/>
              <w:start w:w="64" w:type="dxa"/>
              <w:end w:w="64" w:type="dxa"/>
            </w:tcMar>
            <w:shd w:fill="EDF4FA"/>
          </w:tcPr>
          <w:p>
            <w:pPr>
              <w:pStyle w:val="TableText"/>
            </w:pPr>
            <w:r/>
            <w:r>
              <w:rPr>
                <w:b w:val="0"/>
              </w:rPr>
              <w:t>Document 6 - CDSS Implementation Guide</w:t>
            </w:r>
          </w:p>
        </w:tc>
        <w:tc>
          <w:tcPr>
            <w:tcW w:type="dxa" w:w="6480"/>
            <w:vAlign w:val="center"/>
            <w:tcMar>
              <w:top w:w="54" w:type="dxa"/>
              <w:bottom w:w="54" w:type="dxa"/>
              <w:start w:w="64" w:type="dxa"/>
              <w:end w:w="64" w:type="dxa"/>
            </w:tcMar>
            <w:shd w:fill="EDF4FA"/>
          </w:tcPr>
          <w:p>
            <w:pPr>
              <w:pStyle w:val="TableText"/>
            </w:pPr>
            <w:r/>
            <w:r>
              <w:rPr>
                <w:b w:val="0"/>
              </w:rPr>
              <w:t>Will map the approved framework into Laravel, Python, database, interface, referral, tests, and deployment procedures.</w:t>
            </w:r>
          </w:p>
        </w:tc>
      </w:tr>
      <w:tr>
        <w:trPr>
          <w:cantSplit/>
        </w:trPr>
        <w:tc>
          <w:tcPr>
            <w:tcW w:type="dxa" w:w="4032"/>
            <w:vAlign w:val="center"/>
            <w:tcMar>
              <w:top w:w="54" w:type="dxa"/>
              <w:bottom w:w="54" w:type="dxa"/>
              <w:start w:w="64" w:type="dxa"/>
              <w:end w:w="64" w:type="dxa"/>
            </w:tcMar>
          </w:tcPr>
          <w:p>
            <w:pPr>
              <w:pStyle w:val="TableText"/>
            </w:pPr>
            <w:r/>
            <w:r>
              <w:rPr>
                <w:b w:val="0"/>
              </w:rPr>
              <w:t>Document 7 - Explainability Framework</w:t>
            </w:r>
          </w:p>
        </w:tc>
        <w:tc>
          <w:tcPr>
            <w:tcW w:type="dxa" w:w="6480"/>
            <w:vAlign w:val="center"/>
            <w:tcMar>
              <w:top w:w="54" w:type="dxa"/>
              <w:bottom w:w="54" w:type="dxa"/>
              <w:start w:w="64" w:type="dxa"/>
              <w:end w:w="64" w:type="dxa"/>
            </w:tcMar>
          </w:tcPr>
          <w:p>
            <w:pPr>
              <w:pStyle w:val="TableText"/>
            </w:pPr>
            <w:r/>
            <w:r>
              <w:rPr>
                <w:b w:val="0"/>
              </w:rPr>
              <w:t>Will provide the deeper system-wide XAI architecture, evaluation, transparency, and user-centered explanation specification.</w:t>
            </w:r>
          </w:p>
        </w:tc>
      </w:tr>
    </w:tbl>
    <w:p>
      <w:pPr>
        <w:spacing w:after="20"/>
      </w:pPr>
    </w:p>
    <w:p>
      <w:pPr>
        <w:pStyle w:val="Heading1"/>
      </w:pPr>
      <w:r>
        <w:t>13. Foundational System Invariants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656"/>
            <w:vAlign w:val="center"/>
            <w:tcMar>
              <w:top w:w="54" w:type="dxa"/>
              <w:bottom w:w="54" w:type="dxa"/>
              <w:start w:w="64" w:type="dxa"/>
              <w:end w:w="64" w:type="dxa"/>
            </w:tcMar>
            <w:shd w:fill="17365D"/>
          </w:tcPr>
          <w:p>
            <w:pPr>
              <w:pStyle w:val="TableHeader"/>
            </w:pPr>
            <w:r/>
            <w:r>
              <w:rPr>
                <w:b/>
                <w:color w:val="FFFFFF"/>
              </w:rPr>
              <w:t>Invariant ID</w:t>
            </w:r>
          </w:p>
        </w:tc>
        <w:tc>
          <w:tcPr>
            <w:tcW w:type="dxa" w:w="8856"/>
            <w:vAlign w:val="center"/>
            <w:tcMar>
              <w:top w:w="54" w:type="dxa"/>
              <w:bottom w:w="54" w:type="dxa"/>
              <w:start w:w="64" w:type="dxa"/>
              <w:end w:w="64" w:type="dxa"/>
            </w:tcMar>
            <w:shd w:fill="17365D"/>
          </w:tcPr>
          <w:p>
            <w:pPr>
              <w:pStyle w:val="TableHeader"/>
            </w:pPr>
            <w:r/>
            <w:r>
              <w:rPr>
                <w:b/>
                <w:color w:val="FFFFFF"/>
              </w:rPr>
              <w:t>Invariant</w:t>
            </w:r>
          </w:p>
        </w:tc>
      </w:tr>
      <w:tr>
        <w:trPr>
          <w:cantSplit/>
        </w:trPr>
        <w:tc>
          <w:tcPr>
            <w:tcW w:type="dxa" w:w="1656"/>
            <w:vAlign w:val="center"/>
            <w:tcMar>
              <w:top w:w="54" w:type="dxa"/>
              <w:bottom w:w="54" w:type="dxa"/>
              <w:start w:w="64" w:type="dxa"/>
              <w:end w:w="64" w:type="dxa"/>
            </w:tcMar>
          </w:tcPr>
          <w:p>
            <w:pPr>
              <w:pStyle w:val="TableText"/>
            </w:pPr>
            <w:r/>
            <w:r>
              <w:rPr>
                <w:b w:val="0"/>
              </w:rPr>
              <w:t>INV-01</w:t>
            </w:r>
          </w:p>
        </w:tc>
        <w:tc>
          <w:tcPr>
            <w:tcW w:type="dxa" w:w="8856"/>
            <w:vAlign w:val="center"/>
            <w:tcMar>
              <w:top w:w="54" w:type="dxa"/>
              <w:bottom w:w="54" w:type="dxa"/>
              <w:start w:w="64" w:type="dxa"/>
              <w:end w:w="64" w:type="dxa"/>
            </w:tcMar>
          </w:tcPr>
          <w:p>
            <w:pPr>
              <w:pStyle w:val="TableText"/>
            </w:pPr>
            <w:r/>
            <w:r>
              <w:rPr>
                <w:b w:val="0"/>
              </w:rPr>
              <w:t>A deterministic HIGH factor can never be cancelled by ML LOW.</w:t>
            </w:r>
          </w:p>
        </w:tc>
      </w:tr>
      <w:tr>
        <w:trPr>
          <w:cantSplit/>
        </w:trPr>
        <w:tc>
          <w:tcPr>
            <w:tcW w:type="dxa" w:w="1656"/>
            <w:vAlign w:val="center"/>
            <w:tcMar>
              <w:top w:w="54" w:type="dxa"/>
              <w:bottom w:w="54" w:type="dxa"/>
              <w:start w:w="64" w:type="dxa"/>
              <w:end w:w="64" w:type="dxa"/>
            </w:tcMar>
            <w:shd w:fill="EDF4FA"/>
          </w:tcPr>
          <w:p>
            <w:pPr>
              <w:pStyle w:val="TableText"/>
            </w:pPr>
            <w:r/>
            <w:r>
              <w:rPr>
                <w:b w:val="0"/>
              </w:rPr>
              <w:t>INV-02</w:t>
            </w:r>
          </w:p>
        </w:tc>
        <w:tc>
          <w:tcPr>
            <w:tcW w:type="dxa" w:w="8856"/>
            <w:vAlign w:val="center"/>
            <w:tcMar>
              <w:top w:w="54" w:type="dxa"/>
              <w:bottom w:w="54" w:type="dxa"/>
              <w:start w:w="64" w:type="dxa"/>
              <w:end w:w="64" w:type="dxa"/>
            </w:tcMar>
            <w:shd w:fill="EDF4FA"/>
          </w:tcPr>
          <w:p>
            <w:pPr>
              <w:pStyle w:val="TableText"/>
            </w:pPr>
            <w:r/>
            <w:r>
              <w:rPr>
                <w:b w:val="0"/>
              </w:rPr>
              <w:t>Missing required information can never be treated as normal.</w:t>
            </w:r>
          </w:p>
        </w:tc>
      </w:tr>
      <w:tr>
        <w:trPr>
          <w:cantSplit/>
        </w:trPr>
        <w:tc>
          <w:tcPr>
            <w:tcW w:type="dxa" w:w="1656"/>
            <w:vAlign w:val="center"/>
            <w:tcMar>
              <w:top w:w="54" w:type="dxa"/>
              <w:bottom w:w="54" w:type="dxa"/>
              <w:start w:w="64" w:type="dxa"/>
              <w:end w:w="64" w:type="dxa"/>
            </w:tcMar>
          </w:tcPr>
          <w:p>
            <w:pPr>
              <w:pStyle w:val="TableText"/>
            </w:pPr>
            <w:r/>
            <w:r>
              <w:rPr>
                <w:b w:val="0"/>
              </w:rPr>
              <w:t>INV-03</w:t>
            </w:r>
          </w:p>
        </w:tc>
        <w:tc>
          <w:tcPr>
            <w:tcW w:type="dxa" w:w="8856"/>
            <w:vAlign w:val="center"/>
            <w:tcMar>
              <w:top w:w="54" w:type="dxa"/>
              <w:bottom w:w="54" w:type="dxa"/>
              <w:start w:w="64" w:type="dxa"/>
              <w:end w:w="64" w:type="dxa"/>
            </w:tcMar>
          </w:tcPr>
          <w:p>
            <w:pPr>
              <w:pStyle w:val="TableText"/>
            </w:pPr>
            <w:r/>
            <w:r>
              <w:rPr>
                <w:b w:val="0"/>
              </w:rPr>
              <w:t>LOW requires complete required records, no deterministic HIGH, and valid ML LOW.</w:t>
            </w:r>
          </w:p>
        </w:tc>
      </w:tr>
      <w:tr>
        <w:trPr>
          <w:cantSplit/>
        </w:trPr>
        <w:tc>
          <w:tcPr>
            <w:tcW w:type="dxa" w:w="1656"/>
            <w:vAlign w:val="center"/>
            <w:tcMar>
              <w:top w:w="54" w:type="dxa"/>
              <w:bottom w:w="54" w:type="dxa"/>
              <w:start w:w="64" w:type="dxa"/>
              <w:end w:w="64" w:type="dxa"/>
            </w:tcMar>
            <w:shd w:fill="EDF4FA"/>
          </w:tcPr>
          <w:p>
            <w:pPr>
              <w:pStyle w:val="TableText"/>
            </w:pPr>
            <w:r/>
            <w:r>
              <w:rPr>
                <w:b w:val="0"/>
              </w:rPr>
              <w:t>INV-04</w:t>
            </w:r>
          </w:p>
        </w:tc>
        <w:tc>
          <w:tcPr>
            <w:tcW w:type="dxa" w:w="8856"/>
            <w:vAlign w:val="center"/>
            <w:tcMar>
              <w:top w:w="54" w:type="dxa"/>
              <w:bottom w:w="54" w:type="dxa"/>
              <w:start w:w="64" w:type="dxa"/>
              <w:end w:w="64" w:type="dxa"/>
            </w:tcMar>
            <w:shd w:fill="EDF4FA"/>
          </w:tcPr>
          <w:p>
            <w:pPr>
              <w:pStyle w:val="TableText"/>
            </w:pPr>
            <w:r/>
            <w:r>
              <w:rPr>
                <w:b w:val="0"/>
              </w:rPr>
              <w:t>Only exact LOW or HIGH is accepted from the Python inference contract.</w:t>
            </w:r>
          </w:p>
        </w:tc>
      </w:tr>
      <w:tr>
        <w:trPr>
          <w:cantSplit/>
        </w:trPr>
        <w:tc>
          <w:tcPr>
            <w:tcW w:type="dxa" w:w="1656"/>
            <w:vAlign w:val="center"/>
            <w:tcMar>
              <w:top w:w="54" w:type="dxa"/>
              <w:bottom w:w="54" w:type="dxa"/>
              <w:start w:w="64" w:type="dxa"/>
              <w:end w:w="64" w:type="dxa"/>
            </w:tcMar>
          </w:tcPr>
          <w:p>
            <w:pPr>
              <w:pStyle w:val="TableText"/>
            </w:pPr>
            <w:r/>
            <w:r>
              <w:rPr>
                <w:b w:val="0"/>
              </w:rPr>
              <w:t>INV-05</w:t>
            </w:r>
          </w:p>
        </w:tc>
        <w:tc>
          <w:tcPr>
            <w:tcW w:type="dxa" w:w="8856"/>
            <w:vAlign w:val="center"/>
            <w:tcMar>
              <w:top w:w="54" w:type="dxa"/>
              <w:bottom w:w="54" w:type="dxa"/>
              <w:start w:w="64" w:type="dxa"/>
              <w:end w:w="64" w:type="dxa"/>
            </w:tcMar>
          </w:tcPr>
          <w:p>
            <w:pPr>
              <w:pStyle w:val="TableText"/>
            </w:pPr>
            <w:r/>
            <w:r>
              <w:rPr>
                <w:b w:val="0"/>
              </w:rPr>
              <w:t>Urgency is separate from the HIGH/LOW/INCOMPLETE category.</w:t>
            </w:r>
          </w:p>
        </w:tc>
      </w:tr>
      <w:tr>
        <w:trPr>
          <w:cantSplit/>
        </w:trPr>
        <w:tc>
          <w:tcPr>
            <w:tcW w:type="dxa" w:w="1656"/>
            <w:vAlign w:val="center"/>
            <w:tcMar>
              <w:top w:w="54" w:type="dxa"/>
              <w:bottom w:w="54" w:type="dxa"/>
              <w:start w:w="64" w:type="dxa"/>
              <w:end w:w="64" w:type="dxa"/>
            </w:tcMar>
            <w:shd w:fill="EDF4FA"/>
          </w:tcPr>
          <w:p>
            <w:pPr>
              <w:pStyle w:val="TableText"/>
            </w:pPr>
            <w:r/>
            <w:r>
              <w:rPr>
                <w:b w:val="0"/>
              </w:rPr>
              <w:t>INV-06</w:t>
            </w:r>
          </w:p>
        </w:tc>
        <w:tc>
          <w:tcPr>
            <w:tcW w:type="dxa" w:w="8856"/>
            <w:vAlign w:val="center"/>
            <w:tcMar>
              <w:top w:w="54" w:type="dxa"/>
              <w:bottom w:w="54" w:type="dxa"/>
              <w:start w:w="64" w:type="dxa"/>
              <w:end w:w="64" w:type="dxa"/>
            </w:tcMar>
            <w:shd w:fill="EDF4FA"/>
          </w:tcPr>
          <w:p>
            <w:pPr>
              <w:pStyle w:val="TableText"/>
            </w:pPr>
            <w:r/>
            <w:r>
              <w:rPr>
                <w:b w:val="0"/>
              </w:rPr>
              <w:t>Multiple factors preserve all reasons but do not create an unvalidated numerical score.</w:t>
            </w:r>
          </w:p>
        </w:tc>
      </w:tr>
      <w:tr>
        <w:trPr>
          <w:cantSplit/>
        </w:trPr>
        <w:tc>
          <w:tcPr>
            <w:tcW w:type="dxa" w:w="1656"/>
            <w:vAlign w:val="center"/>
            <w:tcMar>
              <w:top w:w="54" w:type="dxa"/>
              <w:bottom w:w="54" w:type="dxa"/>
              <w:start w:w="64" w:type="dxa"/>
              <w:end w:w="64" w:type="dxa"/>
            </w:tcMar>
          </w:tcPr>
          <w:p>
            <w:pPr>
              <w:pStyle w:val="TableText"/>
            </w:pPr>
            <w:r/>
            <w:r>
              <w:rPr>
                <w:b w:val="0"/>
              </w:rPr>
              <w:t>INV-07</w:t>
            </w:r>
          </w:p>
        </w:tc>
        <w:tc>
          <w:tcPr>
            <w:tcW w:type="dxa" w:w="8856"/>
            <w:vAlign w:val="center"/>
            <w:tcMar>
              <w:top w:w="54" w:type="dxa"/>
              <w:bottom w:w="54" w:type="dxa"/>
              <w:start w:w="64" w:type="dxa"/>
              <w:end w:w="64" w:type="dxa"/>
            </w:tcMar>
          </w:tcPr>
          <w:p>
            <w:pPr>
              <w:pStyle w:val="TableText"/>
            </w:pPr>
            <w:r/>
            <w:r>
              <w:rPr>
                <w:b w:val="0"/>
              </w:rPr>
              <w:t>Every final result has a patient-specific explanation and recommendation.</w:t>
            </w:r>
          </w:p>
        </w:tc>
      </w:tr>
      <w:tr>
        <w:trPr>
          <w:cantSplit/>
        </w:trPr>
        <w:tc>
          <w:tcPr>
            <w:tcW w:type="dxa" w:w="1656"/>
            <w:vAlign w:val="center"/>
            <w:tcMar>
              <w:top w:w="54" w:type="dxa"/>
              <w:bottom w:w="54" w:type="dxa"/>
              <w:start w:w="64" w:type="dxa"/>
              <w:end w:w="64" w:type="dxa"/>
            </w:tcMar>
            <w:shd w:fill="EDF4FA"/>
          </w:tcPr>
          <w:p>
            <w:pPr>
              <w:pStyle w:val="TableText"/>
            </w:pPr>
            <w:r/>
            <w:r>
              <w:rPr>
                <w:b w:val="0"/>
              </w:rPr>
              <w:t>INV-08</w:t>
            </w:r>
          </w:p>
        </w:tc>
        <w:tc>
          <w:tcPr>
            <w:tcW w:type="dxa" w:w="8856"/>
            <w:vAlign w:val="center"/>
            <w:tcMar>
              <w:top w:w="54" w:type="dxa"/>
              <w:bottom w:w="54" w:type="dxa"/>
              <w:start w:w="64" w:type="dxa"/>
              <w:end w:w="64" w:type="dxa"/>
            </w:tcMar>
            <w:shd w:fill="EDF4FA"/>
          </w:tcPr>
          <w:p>
            <w:pPr>
              <w:pStyle w:val="TableText"/>
            </w:pPr>
            <w:r/>
            <w:r>
              <w:rPr>
                <w:b w:val="0"/>
              </w:rPr>
              <w:t>The system does not diagnose, prescribe, or determine delivery mode/timing.</w:t>
            </w:r>
          </w:p>
        </w:tc>
      </w:tr>
      <w:tr>
        <w:trPr>
          <w:cantSplit/>
        </w:trPr>
        <w:tc>
          <w:tcPr>
            <w:tcW w:type="dxa" w:w="1656"/>
            <w:vAlign w:val="center"/>
            <w:tcMar>
              <w:top w:w="54" w:type="dxa"/>
              <w:bottom w:w="54" w:type="dxa"/>
              <w:start w:w="64" w:type="dxa"/>
              <w:end w:w="64" w:type="dxa"/>
            </w:tcMar>
          </w:tcPr>
          <w:p>
            <w:pPr>
              <w:pStyle w:val="TableText"/>
            </w:pPr>
            <w:r/>
            <w:r>
              <w:rPr>
                <w:b w:val="0"/>
              </w:rPr>
              <w:t>INV-09</w:t>
            </w:r>
          </w:p>
        </w:tc>
        <w:tc>
          <w:tcPr>
            <w:tcW w:type="dxa" w:w="8856"/>
            <w:vAlign w:val="center"/>
            <w:tcMar>
              <w:top w:w="54" w:type="dxa"/>
              <w:bottom w:w="54" w:type="dxa"/>
              <w:start w:w="64" w:type="dxa"/>
              <w:end w:w="64" w:type="dxa"/>
            </w:tcMar>
          </w:tcPr>
          <w:p>
            <w:pPr>
              <w:pStyle w:val="TableText"/>
            </w:pPr>
            <w:r/>
            <w:r>
              <w:rPr>
                <w:b w:val="0"/>
              </w:rPr>
              <w:t>Referral creation is not equivalent to referral completion.</w:t>
            </w:r>
          </w:p>
        </w:tc>
      </w:tr>
      <w:tr>
        <w:trPr>
          <w:cantSplit/>
        </w:trPr>
        <w:tc>
          <w:tcPr>
            <w:tcW w:type="dxa" w:w="1656"/>
            <w:vAlign w:val="center"/>
            <w:tcMar>
              <w:top w:w="54" w:type="dxa"/>
              <w:bottom w:w="54" w:type="dxa"/>
              <w:start w:w="64" w:type="dxa"/>
              <w:end w:w="64" w:type="dxa"/>
            </w:tcMar>
            <w:shd w:fill="EDF4FA"/>
          </w:tcPr>
          <w:p>
            <w:pPr>
              <w:pStyle w:val="TableText"/>
            </w:pPr>
            <w:r/>
            <w:r>
              <w:rPr>
                <w:b w:val="0"/>
              </w:rPr>
              <w:t>INV-10</w:t>
            </w:r>
          </w:p>
        </w:tc>
        <w:tc>
          <w:tcPr>
            <w:tcW w:type="dxa" w:w="8856"/>
            <w:vAlign w:val="center"/>
            <w:tcMar>
              <w:top w:w="54" w:type="dxa"/>
              <w:bottom w:w="54" w:type="dxa"/>
              <w:start w:w="64" w:type="dxa"/>
              <w:end w:w="64" w:type="dxa"/>
            </w:tcMar>
            <w:shd w:fill="EDF4FA"/>
          </w:tcPr>
          <w:p>
            <w:pPr>
              <w:pStyle w:val="TableText"/>
            </w:pPr>
            <w:r/>
            <w:r>
              <w:rPr>
                <w:b w:val="0"/>
              </w:rPr>
              <w:t>Delivered pregnancies are historical and read-only; new pregnancies receive new assessments.</w:t>
            </w:r>
          </w:p>
        </w:tc>
      </w:tr>
      <w:tr>
        <w:trPr>
          <w:cantSplit/>
        </w:trPr>
        <w:tc>
          <w:tcPr>
            <w:tcW w:type="dxa" w:w="1656"/>
            <w:vAlign w:val="center"/>
            <w:tcMar>
              <w:top w:w="54" w:type="dxa"/>
              <w:bottom w:w="54" w:type="dxa"/>
              <w:start w:w="64" w:type="dxa"/>
              <w:end w:w="64" w:type="dxa"/>
            </w:tcMar>
          </w:tcPr>
          <w:p>
            <w:pPr>
              <w:pStyle w:val="TableText"/>
            </w:pPr>
            <w:r/>
            <w:r>
              <w:rPr>
                <w:b w:val="0"/>
              </w:rPr>
              <w:t>INV-11</w:t>
            </w:r>
          </w:p>
        </w:tc>
        <w:tc>
          <w:tcPr>
            <w:tcW w:type="dxa" w:w="8856"/>
            <w:vAlign w:val="center"/>
            <w:tcMar>
              <w:top w:w="54" w:type="dxa"/>
              <w:bottom w:w="54" w:type="dxa"/>
              <w:start w:w="64" w:type="dxa"/>
              <w:end w:w="64" w:type="dxa"/>
            </w:tcMar>
          </w:tcPr>
          <w:p>
            <w:pPr>
              <w:pStyle w:val="TableText"/>
            </w:pPr>
            <w:r/>
            <w:r>
              <w:rPr>
                <w:b w:val="0"/>
              </w:rPr>
              <w:t>Every material data or logic change creates an auditable recalculation/version record.</w:t>
            </w:r>
          </w:p>
        </w:tc>
      </w:tr>
      <w:tr>
        <w:trPr>
          <w:cantSplit/>
        </w:trPr>
        <w:tc>
          <w:tcPr>
            <w:tcW w:type="dxa" w:w="1656"/>
            <w:vAlign w:val="center"/>
            <w:tcMar>
              <w:top w:w="54" w:type="dxa"/>
              <w:bottom w:w="54" w:type="dxa"/>
              <w:start w:w="64" w:type="dxa"/>
              <w:end w:w="64" w:type="dxa"/>
            </w:tcMar>
            <w:shd w:fill="EDF4FA"/>
          </w:tcPr>
          <w:p>
            <w:pPr>
              <w:pStyle w:val="TableText"/>
            </w:pPr>
            <w:r/>
            <w:r>
              <w:rPr>
                <w:b w:val="0"/>
              </w:rPr>
              <w:t>INV-12</w:t>
            </w:r>
          </w:p>
        </w:tc>
        <w:tc>
          <w:tcPr>
            <w:tcW w:type="dxa" w:w="8856"/>
            <w:vAlign w:val="center"/>
            <w:tcMar>
              <w:top w:w="54" w:type="dxa"/>
              <w:bottom w:w="54" w:type="dxa"/>
              <w:start w:w="64" w:type="dxa"/>
              <w:end w:w="64" w:type="dxa"/>
            </w:tcMar>
            <w:shd w:fill="EDF4FA"/>
          </w:tcPr>
          <w:p>
            <w:pPr>
              <w:pStyle w:val="TableText"/>
            </w:pPr>
            <w:r/>
            <w:r>
              <w:rPr>
                <w:b w:val="0"/>
              </w:rPr>
              <w:t>Human review and local clinical governance remain mandatory.</w:t>
            </w:r>
          </w:p>
        </w:tc>
      </w:tr>
    </w:tbl>
    <w:p>
      <w:pPr>
        <w:spacing w:after="20"/>
      </w:pPr>
    </w:p>
    <w:p>
      <w:pPr>
        <w:pStyle w:val="Heading1"/>
      </w:pPr>
      <w:r>
        <w:t>14. Philosophy-to-Implementation Mapping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96"/>
            <w:vAlign w:val="center"/>
            <w:tcMar>
              <w:top w:w="54" w:type="dxa"/>
              <w:bottom w:w="54" w:type="dxa"/>
              <w:start w:w="64" w:type="dxa"/>
              <w:end w:w="64" w:type="dxa"/>
            </w:tcMar>
            <w:shd w:fill="17365D"/>
          </w:tcPr>
          <w:p>
            <w:pPr>
              <w:pStyle w:val="TableHeader"/>
            </w:pPr>
            <w:r/>
            <w:r>
              <w:rPr>
                <w:b/>
                <w:color w:val="FFFFFF"/>
              </w:rPr>
              <w:t>Philosophical principle</w:t>
            </w:r>
          </w:p>
        </w:tc>
        <w:tc>
          <w:tcPr>
            <w:tcW w:type="dxa" w:w="7416"/>
            <w:vAlign w:val="center"/>
            <w:tcMar>
              <w:top w:w="54" w:type="dxa"/>
              <w:bottom w:w="54" w:type="dxa"/>
              <w:start w:w="64" w:type="dxa"/>
              <w:end w:w="64" w:type="dxa"/>
            </w:tcMar>
            <w:shd w:fill="17365D"/>
          </w:tcPr>
          <w:p>
            <w:pPr>
              <w:pStyle w:val="TableHeader"/>
            </w:pPr>
            <w:r/>
            <w:r>
              <w:rPr>
                <w:b/>
                <w:color w:val="FFFFFF"/>
              </w:rPr>
              <w:t>Required implementation feature</w:t>
            </w:r>
          </w:p>
        </w:tc>
      </w:tr>
      <w:tr>
        <w:trPr>
          <w:cantSplit/>
        </w:trPr>
        <w:tc>
          <w:tcPr>
            <w:tcW w:type="dxa" w:w="3096"/>
            <w:vAlign w:val="center"/>
            <w:tcMar>
              <w:top w:w="54" w:type="dxa"/>
              <w:bottom w:w="54" w:type="dxa"/>
              <w:start w:w="64" w:type="dxa"/>
              <w:end w:w="64" w:type="dxa"/>
            </w:tcMar>
          </w:tcPr>
          <w:p>
            <w:pPr>
              <w:pStyle w:val="TableText"/>
            </w:pPr>
            <w:r/>
            <w:r>
              <w:rPr>
                <w:b w:val="0"/>
              </w:rPr>
              <w:t>Safety-first</w:t>
            </w:r>
          </w:p>
        </w:tc>
        <w:tc>
          <w:tcPr>
            <w:tcW w:type="dxa" w:w="7416"/>
            <w:vAlign w:val="center"/>
            <w:tcMar>
              <w:top w:w="54" w:type="dxa"/>
              <w:bottom w:w="54" w:type="dxa"/>
              <w:start w:w="64" w:type="dxa"/>
              <w:end w:w="64" w:type="dxa"/>
            </w:tcMar>
          </w:tcPr>
          <w:p>
            <w:pPr>
              <w:pStyle w:val="TableText"/>
            </w:pPr>
            <w:r/>
            <w:r>
              <w:rPr>
                <w:b w:val="0"/>
              </w:rPr>
              <w:t>Rule precedence and urgent-action priority.</w:t>
            </w:r>
          </w:p>
        </w:tc>
      </w:tr>
      <w:tr>
        <w:trPr>
          <w:cantSplit/>
        </w:trPr>
        <w:tc>
          <w:tcPr>
            <w:tcW w:type="dxa" w:w="3096"/>
            <w:vAlign w:val="center"/>
            <w:tcMar>
              <w:top w:w="54" w:type="dxa"/>
              <w:bottom w:w="54" w:type="dxa"/>
              <w:start w:w="64" w:type="dxa"/>
              <w:end w:w="64" w:type="dxa"/>
            </w:tcMar>
            <w:shd w:fill="EDF4FA"/>
          </w:tcPr>
          <w:p>
            <w:pPr>
              <w:pStyle w:val="TableText"/>
            </w:pPr>
            <w:r/>
            <w:r>
              <w:rPr>
                <w:b w:val="0"/>
              </w:rPr>
              <w:t>Unknown is not normal</w:t>
            </w:r>
          </w:p>
        </w:tc>
        <w:tc>
          <w:tcPr>
            <w:tcW w:type="dxa" w:w="7416"/>
            <w:vAlign w:val="center"/>
            <w:tcMar>
              <w:top w:w="54" w:type="dxa"/>
              <w:bottom w:w="54" w:type="dxa"/>
              <w:start w:w="64" w:type="dxa"/>
              <w:end w:w="64" w:type="dxa"/>
            </w:tcMar>
            <w:shd w:fill="EDF4FA"/>
          </w:tcPr>
          <w:p>
            <w:pPr>
              <w:pStyle w:val="TableText"/>
            </w:pPr>
            <w:r/>
            <w:r>
              <w:rPr>
                <w:b w:val="0"/>
              </w:rPr>
              <w:t>Nullable/unknown states, completeness validator, and conflict handling.</w:t>
            </w:r>
          </w:p>
        </w:tc>
      </w:tr>
      <w:tr>
        <w:trPr>
          <w:cantSplit/>
        </w:trPr>
        <w:tc>
          <w:tcPr>
            <w:tcW w:type="dxa" w:w="3096"/>
            <w:vAlign w:val="center"/>
            <w:tcMar>
              <w:top w:w="54" w:type="dxa"/>
              <w:bottom w:w="54" w:type="dxa"/>
              <w:start w:w="64" w:type="dxa"/>
              <w:end w:w="64" w:type="dxa"/>
            </w:tcMar>
          </w:tcPr>
          <w:p>
            <w:pPr>
              <w:pStyle w:val="TableText"/>
            </w:pPr>
            <w:r/>
            <w:r>
              <w:rPr>
                <w:b w:val="0"/>
              </w:rPr>
              <w:t>Hybrid but non-additive</w:t>
            </w:r>
          </w:p>
        </w:tc>
        <w:tc>
          <w:tcPr>
            <w:tcW w:type="dxa" w:w="7416"/>
            <w:vAlign w:val="center"/>
            <w:tcMar>
              <w:top w:w="54" w:type="dxa"/>
              <w:bottom w:w="54" w:type="dxa"/>
              <w:start w:w="64" w:type="dxa"/>
              <w:end w:w="64" w:type="dxa"/>
            </w:tcMar>
          </w:tcPr>
          <w:p>
            <w:pPr>
              <w:pStyle w:val="TableText"/>
            </w:pPr>
            <w:r/>
            <w:r>
              <w:rPr>
                <w:b w:val="0"/>
              </w:rPr>
              <w:t>Separate rule engine and ML engine with explicit resolver.</w:t>
            </w:r>
          </w:p>
        </w:tc>
      </w:tr>
      <w:tr>
        <w:trPr>
          <w:cantSplit/>
        </w:trPr>
        <w:tc>
          <w:tcPr>
            <w:tcW w:type="dxa" w:w="3096"/>
            <w:vAlign w:val="center"/>
            <w:tcMar>
              <w:top w:w="54" w:type="dxa"/>
              <w:bottom w:w="54" w:type="dxa"/>
              <w:start w:w="64" w:type="dxa"/>
              <w:end w:w="64" w:type="dxa"/>
            </w:tcMar>
            <w:shd w:fill="EDF4FA"/>
          </w:tcPr>
          <w:p>
            <w:pPr>
              <w:pStyle w:val="TableText"/>
            </w:pPr>
            <w:r/>
            <w:r>
              <w:rPr>
                <w:b w:val="0"/>
              </w:rPr>
              <w:t>Human review</w:t>
            </w:r>
          </w:p>
        </w:tc>
        <w:tc>
          <w:tcPr>
            <w:tcW w:type="dxa" w:w="7416"/>
            <w:vAlign w:val="center"/>
            <w:tcMar>
              <w:top w:w="54" w:type="dxa"/>
              <w:bottom w:w="54" w:type="dxa"/>
              <w:start w:w="64" w:type="dxa"/>
              <w:end w:w="64" w:type="dxa"/>
            </w:tcMar>
            <w:shd w:fill="EDF4FA"/>
          </w:tcPr>
          <w:p>
            <w:pPr>
              <w:pStyle w:val="TableText"/>
            </w:pPr>
            <w:r/>
            <w:r>
              <w:rPr>
                <w:b w:val="0"/>
              </w:rPr>
              <w:t>Decision trace, evidence view, acknowledgement, and override.</w:t>
            </w:r>
          </w:p>
        </w:tc>
      </w:tr>
      <w:tr>
        <w:trPr>
          <w:cantSplit/>
        </w:trPr>
        <w:tc>
          <w:tcPr>
            <w:tcW w:type="dxa" w:w="3096"/>
            <w:vAlign w:val="center"/>
            <w:tcMar>
              <w:top w:w="54" w:type="dxa"/>
              <w:bottom w:w="54" w:type="dxa"/>
              <w:start w:w="64" w:type="dxa"/>
              <w:end w:w="64" w:type="dxa"/>
            </w:tcMar>
          </w:tcPr>
          <w:p>
            <w:pPr>
              <w:pStyle w:val="TableText"/>
            </w:pPr>
            <w:r/>
            <w:r>
              <w:rPr>
                <w:b w:val="0"/>
              </w:rPr>
              <w:t>Action-oriented</w:t>
            </w:r>
          </w:p>
        </w:tc>
        <w:tc>
          <w:tcPr>
            <w:tcW w:type="dxa" w:w="7416"/>
            <w:vAlign w:val="center"/>
            <w:tcMar>
              <w:top w:w="54" w:type="dxa"/>
              <w:bottom w:w="54" w:type="dxa"/>
              <w:start w:w="64" w:type="dxa"/>
              <w:end w:w="64" w:type="dxa"/>
            </w:tcMar>
          </w:tcPr>
          <w:p>
            <w:pPr>
              <w:pStyle w:val="TableText"/>
            </w:pPr>
            <w:r/>
            <w:r>
              <w:rPr>
                <w:b w:val="0"/>
              </w:rPr>
              <w:t>Recommendation and referral workflow.</w:t>
            </w:r>
          </w:p>
        </w:tc>
      </w:tr>
      <w:tr>
        <w:trPr>
          <w:cantSplit/>
        </w:trPr>
        <w:tc>
          <w:tcPr>
            <w:tcW w:type="dxa" w:w="3096"/>
            <w:vAlign w:val="center"/>
            <w:tcMar>
              <w:top w:w="54" w:type="dxa"/>
              <w:bottom w:w="54" w:type="dxa"/>
              <w:start w:w="64" w:type="dxa"/>
              <w:end w:w="64" w:type="dxa"/>
            </w:tcMar>
            <w:shd w:fill="EDF4FA"/>
          </w:tcPr>
          <w:p>
            <w:pPr>
              <w:pStyle w:val="TableText"/>
            </w:pPr>
            <w:r/>
            <w:r>
              <w:rPr>
                <w:b w:val="0"/>
              </w:rPr>
              <w:t>Explainable</w:t>
            </w:r>
          </w:p>
        </w:tc>
        <w:tc>
          <w:tcPr>
            <w:tcW w:type="dxa" w:w="7416"/>
            <w:vAlign w:val="center"/>
            <w:tcMar>
              <w:top w:w="54" w:type="dxa"/>
              <w:bottom w:w="54" w:type="dxa"/>
              <w:start w:w="64" w:type="dxa"/>
              <w:end w:w="64" w:type="dxa"/>
            </w:tcMar>
            <w:shd w:fill="EDF4FA"/>
          </w:tcPr>
          <w:p>
            <w:pPr>
              <w:pStyle w:val="TableText"/>
            </w:pPr>
            <w:r/>
            <w:r>
              <w:rPr>
                <w:b w:val="0"/>
              </w:rPr>
              <w:t>Structured explanation object with staff and patient renderings.</w:t>
            </w:r>
          </w:p>
        </w:tc>
      </w:tr>
      <w:tr>
        <w:trPr>
          <w:cantSplit/>
        </w:trPr>
        <w:tc>
          <w:tcPr>
            <w:tcW w:type="dxa" w:w="3096"/>
            <w:vAlign w:val="center"/>
            <w:tcMar>
              <w:top w:w="54" w:type="dxa"/>
              <w:bottom w:w="54" w:type="dxa"/>
              <w:start w:w="64" w:type="dxa"/>
              <w:end w:w="64" w:type="dxa"/>
            </w:tcMar>
          </w:tcPr>
          <w:p>
            <w:pPr>
              <w:pStyle w:val="TableText"/>
            </w:pPr>
            <w:r/>
            <w:r>
              <w:rPr>
                <w:b w:val="0"/>
              </w:rPr>
              <w:t>Locally applicable</w:t>
            </w:r>
          </w:p>
        </w:tc>
        <w:tc>
          <w:tcPr>
            <w:tcW w:type="dxa" w:w="7416"/>
            <w:vAlign w:val="center"/>
            <w:tcMar>
              <w:top w:w="54" w:type="dxa"/>
              <w:bottom w:w="54" w:type="dxa"/>
              <w:start w:w="64" w:type="dxa"/>
              <w:end w:w="64" w:type="dxa"/>
            </w:tcMar>
          </w:tcPr>
          <w:p>
            <w:pPr>
              <w:pStyle w:val="TableText"/>
            </w:pPr>
            <w:r/>
            <w:r>
              <w:rPr>
                <w:b w:val="0"/>
              </w:rPr>
              <w:t>Facility capability directory and site-specific referral configuration.</w:t>
            </w:r>
          </w:p>
        </w:tc>
      </w:tr>
      <w:tr>
        <w:trPr>
          <w:cantSplit/>
        </w:trPr>
        <w:tc>
          <w:tcPr>
            <w:tcW w:type="dxa" w:w="3096"/>
            <w:vAlign w:val="center"/>
            <w:tcMar>
              <w:top w:w="54" w:type="dxa"/>
              <w:bottom w:w="54" w:type="dxa"/>
              <w:start w:w="64" w:type="dxa"/>
              <w:end w:w="64" w:type="dxa"/>
            </w:tcMar>
            <w:shd w:fill="EDF4FA"/>
          </w:tcPr>
          <w:p>
            <w:pPr>
              <w:pStyle w:val="TableText"/>
            </w:pPr>
            <w:r/>
            <w:r>
              <w:rPr>
                <w:b w:val="0"/>
              </w:rPr>
              <w:t>Auditable</w:t>
            </w:r>
          </w:p>
        </w:tc>
        <w:tc>
          <w:tcPr>
            <w:tcW w:type="dxa" w:w="7416"/>
            <w:vAlign w:val="center"/>
            <w:tcMar>
              <w:top w:w="54" w:type="dxa"/>
              <w:bottom w:w="54" w:type="dxa"/>
              <w:start w:w="64" w:type="dxa"/>
              <w:end w:w="64" w:type="dxa"/>
            </w:tcMar>
            <w:shd w:fill="EDF4FA"/>
          </w:tcPr>
          <w:p>
            <w:pPr>
              <w:pStyle w:val="TableText"/>
            </w:pPr>
            <w:r/>
            <w:r>
              <w:rPr>
                <w:b w:val="0"/>
              </w:rPr>
              <w:t>Immutable input, rule, model, recommendation, and explanation versions.</w:t>
            </w:r>
          </w:p>
        </w:tc>
      </w:tr>
      <w:tr>
        <w:trPr>
          <w:cantSplit/>
        </w:trPr>
        <w:tc>
          <w:tcPr>
            <w:tcW w:type="dxa" w:w="3096"/>
            <w:vAlign w:val="center"/>
            <w:tcMar>
              <w:top w:w="54" w:type="dxa"/>
              <w:bottom w:w="54" w:type="dxa"/>
              <w:start w:w="64" w:type="dxa"/>
              <w:end w:w="64" w:type="dxa"/>
            </w:tcMar>
          </w:tcPr>
          <w:p>
            <w:pPr>
              <w:pStyle w:val="TableText"/>
            </w:pPr>
            <w:r/>
            <w:r>
              <w:rPr>
                <w:b w:val="0"/>
              </w:rPr>
              <w:t>Equitable</w:t>
            </w:r>
          </w:p>
        </w:tc>
        <w:tc>
          <w:tcPr>
            <w:tcW w:type="dxa" w:w="7416"/>
            <w:vAlign w:val="center"/>
            <w:tcMar>
              <w:top w:w="54" w:type="dxa"/>
              <w:bottom w:w="54" w:type="dxa"/>
              <w:start w:w="64" w:type="dxa"/>
              <w:end w:w="64" w:type="dxa"/>
            </w:tcMar>
          </w:tcPr>
          <w:p>
            <w:pPr>
              <w:pStyle w:val="TableText"/>
            </w:pPr>
            <w:r/>
            <w:r>
              <w:rPr>
                <w:b w:val="0"/>
              </w:rPr>
              <w:t>Accessible language, subgroup monitoring, and non-digital alternatives.</w:t>
            </w:r>
          </w:p>
        </w:tc>
      </w:tr>
      <w:tr>
        <w:trPr>
          <w:cantSplit/>
        </w:trPr>
        <w:tc>
          <w:tcPr>
            <w:tcW w:type="dxa" w:w="3096"/>
            <w:vAlign w:val="center"/>
            <w:tcMar>
              <w:top w:w="54" w:type="dxa"/>
              <w:bottom w:w="54" w:type="dxa"/>
              <w:start w:w="64" w:type="dxa"/>
              <w:end w:w="64" w:type="dxa"/>
            </w:tcMar>
            <w:shd w:fill="EDF4FA"/>
          </w:tcPr>
          <w:p>
            <w:pPr>
              <w:pStyle w:val="TableText"/>
            </w:pPr>
            <w:r/>
            <w:r>
              <w:rPr>
                <w:b w:val="0"/>
              </w:rPr>
              <w:t>Lifecycle governed</w:t>
            </w:r>
          </w:p>
        </w:tc>
        <w:tc>
          <w:tcPr>
            <w:tcW w:type="dxa" w:w="7416"/>
            <w:vAlign w:val="center"/>
            <w:tcMar>
              <w:top w:w="54" w:type="dxa"/>
              <w:bottom w:w="54" w:type="dxa"/>
              <w:start w:w="64" w:type="dxa"/>
              <w:end w:w="64" w:type="dxa"/>
            </w:tcMar>
            <w:shd w:fill="EDF4FA"/>
          </w:tcPr>
          <w:p>
            <w:pPr>
              <w:pStyle w:val="TableText"/>
            </w:pPr>
            <w:r/>
            <w:r>
              <w:rPr>
                <w:b w:val="0"/>
              </w:rPr>
              <w:t>Clinical approval, validation gates, monitoring, rollback, and review dates.</w:t>
            </w:r>
          </w:p>
        </w:tc>
      </w:tr>
    </w:tbl>
    <w:p>
      <w:pPr>
        <w:spacing w:after="20"/>
      </w:pPr>
    </w:p>
    <w:p>
      <w:pPr>
        <w:pStyle w:val="Heading1"/>
      </w:pPr>
      <w:r>
        <w:t>15. Validation Matrix for the Philosophy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vAlign w:val="center"/>
            <w:tcMar>
              <w:top w:w="54" w:type="dxa"/>
              <w:bottom w:w="54" w:type="dxa"/>
              <w:start w:w="64" w:type="dxa"/>
              <w:end w:w="64" w:type="dxa"/>
            </w:tcMar>
            <w:shd w:fill="17365D"/>
          </w:tcPr>
          <w:p>
            <w:pPr>
              <w:pStyle w:val="TableHeader"/>
            </w:pPr>
            <w:r/>
            <w:r>
              <w:rPr>
                <w:b/>
                <w:color w:val="FFFFFF"/>
              </w:rPr>
              <w:t>Test ID</w:t>
            </w:r>
          </w:p>
        </w:tc>
        <w:tc>
          <w:tcPr>
            <w:tcW w:type="dxa" w:w="4392"/>
            <w:vAlign w:val="center"/>
            <w:tcMar>
              <w:top w:w="54" w:type="dxa"/>
              <w:bottom w:w="54" w:type="dxa"/>
              <w:start w:w="64" w:type="dxa"/>
              <w:end w:w="64" w:type="dxa"/>
            </w:tcMar>
            <w:shd w:fill="17365D"/>
          </w:tcPr>
          <w:p>
            <w:pPr>
              <w:pStyle w:val="TableHeader"/>
            </w:pPr>
            <w:r/>
            <w:r>
              <w:rPr>
                <w:b/>
                <w:color w:val="FFFFFF"/>
              </w:rPr>
              <w:t>Scenario</w:t>
            </w:r>
          </w:p>
        </w:tc>
        <w:tc>
          <w:tcPr>
            <w:tcW w:type="dxa" w:w="5256"/>
            <w:vAlign w:val="center"/>
            <w:tcMar>
              <w:top w:w="54" w:type="dxa"/>
              <w:bottom w:w="54" w:type="dxa"/>
              <w:start w:w="64" w:type="dxa"/>
              <w:end w:w="64" w:type="dxa"/>
            </w:tcMar>
            <w:shd w:fill="17365D"/>
          </w:tcPr>
          <w:p>
            <w:pPr>
              <w:pStyle w:val="TableHeader"/>
            </w:pPr>
            <w:r/>
            <w:r>
              <w:rPr>
                <w:b/>
                <w:color w:val="FFFFFF"/>
              </w:rPr>
              <w:t>Expected philosophical behavior</w:t>
            </w:r>
          </w:p>
        </w:tc>
      </w:tr>
      <w:tr>
        <w:trPr>
          <w:cantSplit/>
        </w:trPr>
        <w:tc>
          <w:tcPr>
            <w:tcW w:type="dxa" w:w="1224"/>
            <w:vAlign w:val="center"/>
            <w:tcMar>
              <w:top w:w="54" w:type="dxa"/>
              <w:bottom w:w="54" w:type="dxa"/>
              <w:start w:w="64" w:type="dxa"/>
              <w:end w:w="64" w:type="dxa"/>
            </w:tcMar>
          </w:tcPr>
          <w:p>
            <w:pPr>
              <w:pStyle w:val="TableText"/>
            </w:pPr>
            <w:r/>
            <w:r>
              <w:rPr>
                <w:b w:val="0"/>
              </w:rPr>
              <w:t>PHIL-T01</w:t>
            </w:r>
          </w:p>
        </w:tc>
        <w:tc>
          <w:tcPr>
            <w:tcW w:type="dxa" w:w="4392"/>
            <w:vAlign w:val="center"/>
            <w:tcMar>
              <w:top w:w="54" w:type="dxa"/>
              <w:bottom w:w="54" w:type="dxa"/>
              <w:start w:w="64" w:type="dxa"/>
              <w:end w:w="64" w:type="dxa"/>
            </w:tcMar>
          </w:tcPr>
          <w:p>
            <w:pPr>
              <w:pStyle w:val="TableText"/>
            </w:pPr>
            <w:r/>
            <w:r>
              <w:rPr>
                <w:b w:val="0"/>
              </w:rPr>
              <w:t>Rule HIGH and ML LOW</w:t>
            </w:r>
          </w:p>
        </w:tc>
        <w:tc>
          <w:tcPr>
            <w:tcW w:type="dxa" w:w="5256"/>
            <w:vAlign w:val="center"/>
            <w:tcMar>
              <w:top w:w="54" w:type="dxa"/>
              <w:bottom w:w="54" w:type="dxa"/>
              <w:start w:w="64" w:type="dxa"/>
              <w:end w:w="64" w:type="dxa"/>
            </w:tcMar>
          </w:tcPr>
          <w:p>
            <w:pPr>
              <w:pStyle w:val="TableText"/>
            </w:pPr>
            <w:r/>
            <w:r>
              <w:rPr>
                <w:b w:val="0"/>
              </w:rPr>
              <w:t>Final HIGH; explanation states rule override.</w:t>
            </w:r>
          </w:p>
        </w:tc>
      </w:tr>
      <w:tr>
        <w:trPr>
          <w:cantSplit/>
        </w:trPr>
        <w:tc>
          <w:tcPr>
            <w:tcW w:type="dxa" w:w="1224"/>
            <w:vAlign w:val="center"/>
            <w:tcMar>
              <w:top w:w="54" w:type="dxa"/>
              <w:bottom w:w="54" w:type="dxa"/>
              <w:start w:w="64" w:type="dxa"/>
              <w:end w:w="64" w:type="dxa"/>
            </w:tcMar>
            <w:shd w:fill="EDF4FA"/>
          </w:tcPr>
          <w:p>
            <w:pPr>
              <w:pStyle w:val="TableText"/>
            </w:pPr>
            <w:r/>
            <w:r>
              <w:rPr>
                <w:b w:val="0"/>
              </w:rPr>
              <w:t>PHIL-T02</w:t>
            </w:r>
          </w:p>
        </w:tc>
        <w:tc>
          <w:tcPr>
            <w:tcW w:type="dxa" w:w="4392"/>
            <w:vAlign w:val="center"/>
            <w:tcMar>
              <w:top w:w="54" w:type="dxa"/>
              <w:bottom w:w="54" w:type="dxa"/>
              <w:start w:w="64" w:type="dxa"/>
              <w:end w:w="64" w:type="dxa"/>
            </w:tcMar>
            <w:shd w:fill="EDF4FA"/>
          </w:tcPr>
          <w:p>
            <w:pPr>
              <w:pStyle w:val="TableText"/>
            </w:pPr>
            <w:r/>
            <w:r>
              <w:rPr>
                <w:b w:val="0"/>
              </w:rPr>
              <w:t>No rule, complete records, ML HIGH</w:t>
            </w:r>
          </w:p>
        </w:tc>
        <w:tc>
          <w:tcPr>
            <w:tcW w:type="dxa" w:w="5256"/>
            <w:vAlign w:val="center"/>
            <w:tcMar>
              <w:top w:w="54" w:type="dxa"/>
              <w:bottom w:w="54" w:type="dxa"/>
              <w:start w:w="64" w:type="dxa"/>
              <w:end w:w="64" w:type="dxa"/>
            </w:tcMar>
            <w:shd w:fill="EDF4FA"/>
          </w:tcPr>
          <w:p>
            <w:pPr>
              <w:pStyle w:val="TableText"/>
            </w:pPr>
            <w:r/>
            <w:r>
              <w:rPr>
                <w:b w:val="0"/>
              </w:rPr>
              <w:t>ML-only HIGH with model limitations.</w:t>
            </w:r>
          </w:p>
        </w:tc>
      </w:tr>
      <w:tr>
        <w:trPr>
          <w:cantSplit/>
        </w:trPr>
        <w:tc>
          <w:tcPr>
            <w:tcW w:type="dxa" w:w="1224"/>
            <w:vAlign w:val="center"/>
            <w:tcMar>
              <w:top w:w="54" w:type="dxa"/>
              <w:bottom w:w="54" w:type="dxa"/>
              <w:start w:w="64" w:type="dxa"/>
              <w:end w:w="64" w:type="dxa"/>
            </w:tcMar>
          </w:tcPr>
          <w:p>
            <w:pPr>
              <w:pStyle w:val="TableText"/>
            </w:pPr>
            <w:r/>
            <w:r>
              <w:rPr>
                <w:b w:val="0"/>
              </w:rPr>
              <w:t>PHIL-T03</w:t>
            </w:r>
          </w:p>
        </w:tc>
        <w:tc>
          <w:tcPr>
            <w:tcW w:type="dxa" w:w="4392"/>
            <w:vAlign w:val="center"/>
            <w:tcMar>
              <w:top w:w="54" w:type="dxa"/>
              <w:bottom w:w="54" w:type="dxa"/>
              <w:start w:w="64" w:type="dxa"/>
              <w:end w:w="64" w:type="dxa"/>
            </w:tcMar>
          </w:tcPr>
          <w:p>
            <w:pPr>
              <w:pStyle w:val="TableText"/>
            </w:pPr>
            <w:r/>
            <w:r>
              <w:rPr>
                <w:b w:val="0"/>
              </w:rPr>
              <w:t>No rule, complete records, ML LOW</w:t>
            </w:r>
          </w:p>
        </w:tc>
        <w:tc>
          <w:tcPr>
            <w:tcW w:type="dxa" w:w="5256"/>
            <w:vAlign w:val="center"/>
            <w:tcMar>
              <w:top w:w="54" w:type="dxa"/>
              <w:bottom w:w="54" w:type="dxa"/>
              <w:start w:w="64" w:type="dxa"/>
              <w:end w:w="64" w:type="dxa"/>
            </w:tcMar>
          </w:tcPr>
          <w:p>
            <w:pPr>
              <w:pStyle w:val="TableText"/>
            </w:pPr>
            <w:r/>
            <w:r>
              <w:rPr>
                <w:b w:val="0"/>
              </w:rPr>
              <w:t>LOW with zero-risk limitation.</w:t>
            </w:r>
          </w:p>
        </w:tc>
      </w:tr>
      <w:tr>
        <w:trPr>
          <w:cantSplit/>
        </w:trPr>
        <w:tc>
          <w:tcPr>
            <w:tcW w:type="dxa" w:w="1224"/>
            <w:vAlign w:val="center"/>
            <w:tcMar>
              <w:top w:w="54" w:type="dxa"/>
              <w:bottom w:w="54" w:type="dxa"/>
              <w:start w:w="64" w:type="dxa"/>
              <w:end w:w="64" w:type="dxa"/>
            </w:tcMar>
            <w:shd w:fill="EDF4FA"/>
          </w:tcPr>
          <w:p>
            <w:pPr>
              <w:pStyle w:val="TableText"/>
            </w:pPr>
            <w:r/>
            <w:r>
              <w:rPr>
                <w:b w:val="0"/>
              </w:rPr>
              <w:t>PHIL-T04</w:t>
            </w:r>
          </w:p>
        </w:tc>
        <w:tc>
          <w:tcPr>
            <w:tcW w:type="dxa" w:w="4392"/>
            <w:vAlign w:val="center"/>
            <w:tcMar>
              <w:top w:w="54" w:type="dxa"/>
              <w:bottom w:w="54" w:type="dxa"/>
              <w:start w:w="64" w:type="dxa"/>
              <w:end w:w="64" w:type="dxa"/>
            </w:tcMar>
            <w:shd w:fill="EDF4FA"/>
          </w:tcPr>
          <w:p>
            <w:pPr>
              <w:pStyle w:val="TableText"/>
            </w:pPr>
            <w:r/>
            <w:r>
              <w:rPr>
                <w:b w:val="0"/>
              </w:rPr>
              <w:t>No rule, missing ultrasound, ML LOW</w:t>
            </w:r>
          </w:p>
        </w:tc>
        <w:tc>
          <w:tcPr>
            <w:tcW w:type="dxa" w:w="5256"/>
            <w:vAlign w:val="center"/>
            <w:tcMar>
              <w:top w:w="54" w:type="dxa"/>
              <w:bottom w:w="54" w:type="dxa"/>
              <w:start w:w="64" w:type="dxa"/>
              <w:end w:w="64" w:type="dxa"/>
            </w:tcMar>
            <w:shd w:fill="EDF4FA"/>
          </w:tcPr>
          <w:p>
            <w:pPr>
              <w:pStyle w:val="TableText"/>
            </w:pPr>
            <w:r/>
            <w:r>
              <w:rPr>
                <w:b w:val="0"/>
              </w:rPr>
              <w:t>ASSESSMENT INCOMPLETE.</w:t>
            </w:r>
          </w:p>
        </w:tc>
      </w:tr>
      <w:tr>
        <w:trPr>
          <w:cantSplit/>
        </w:trPr>
        <w:tc>
          <w:tcPr>
            <w:tcW w:type="dxa" w:w="1224"/>
            <w:vAlign w:val="center"/>
            <w:tcMar>
              <w:top w:w="54" w:type="dxa"/>
              <w:bottom w:w="54" w:type="dxa"/>
              <w:start w:w="64" w:type="dxa"/>
              <w:end w:w="64" w:type="dxa"/>
            </w:tcMar>
          </w:tcPr>
          <w:p>
            <w:pPr>
              <w:pStyle w:val="TableText"/>
            </w:pPr>
            <w:r/>
            <w:r>
              <w:rPr>
                <w:b w:val="0"/>
              </w:rPr>
              <w:t>PHIL-T05</w:t>
            </w:r>
          </w:p>
        </w:tc>
        <w:tc>
          <w:tcPr>
            <w:tcW w:type="dxa" w:w="4392"/>
            <w:vAlign w:val="center"/>
            <w:tcMar>
              <w:top w:w="54" w:type="dxa"/>
              <w:bottom w:w="54" w:type="dxa"/>
              <w:start w:w="64" w:type="dxa"/>
              <w:end w:w="64" w:type="dxa"/>
            </w:tcMar>
          </w:tcPr>
          <w:p>
            <w:pPr>
              <w:pStyle w:val="TableText"/>
            </w:pPr>
            <w:r/>
            <w:r>
              <w:rPr>
                <w:b w:val="0"/>
              </w:rPr>
              <w:t>Rule HIGH plus missing birth plan</w:t>
            </w:r>
          </w:p>
        </w:tc>
        <w:tc>
          <w:tcPr>
            <w:tcW w:type="dxa" w:w="5256"/>
            <w:vAlign w:val="center"/>
            <w:tcMar>
              <w:top w:w="54" w:type="dxa"/>
              <w:bottom w:w="54" w:type="dxa"/>
              <w:start w:w="64" w:type="dxa"/>
              <w:end w:w="64" w:type="dxa"/>
            </w:tcMar>
          </w:tcPr>
          <w:p>
            <w:pPr>
              <w:pStyle w:val="TableText"/>
            </w:pPr>
            <w:r/>
            <w:r>
              <w:rPr>
                <w:b w:val="0"/>
              </w:rPr>
              <w:t>HIGH retained and data gap visible.</w:t>
            </w:r>
          </w:p>
        </w:tc>
      </w:tr>
      <w:tr>
        <w:trPr>
          <w:cantSplit/>
        </w:trPr>
        <w:tc>
          <w:tcPr>
            <w:tcW w:type="dxa" w:w="1224"/>
            <w:vAlign w:val="center"/>
            <w:tcMar>
              <w:top w:w="54" w:type="dxa"/>
              <w:bottom w:w="54" w:type="dxa"/>
              <w:start w:w="64" w:type="dxa"/>
              <w:end w:w="64" w:type="dxa"/>
            </w:tcMar>
            <w:shd w:fill="EDF4FA"/>
          </w:tcPr>
          <w:p>
            <w:pPr>
              <w:pStyle w:val="TableText"/>
            </w:pPr>
            <w:r/>
            <w:r>
              <w:rPr>
                <w:b w:val="0"/>
              </w:rPr>
              <w:t>PHIL-T06</w:t>
            </w:r>
          </w:p>
        </w:tc>
        <w:tc>
          <w:tcPr>
            <w:tcW w:type="dxa" w:w="4392"/>
            <w:vAlign w:val="center"/>
            <w:tcMar>
              <w:top w:w="54" w:type="dxa"/>
              <w:bottom w:w="54" w:type="dxa"/>
              <w:start w:w="64" w:type="dxa"/>
              <w:end w:w="64" w:type="dxa"/>
            </w:tcMar>
            <w:shd w:fill="EDF4FA"/>
          </w:tcPr>
          <w:p>
            <w:pPr>
              <w:pStyle w:val="TableText"/>
            </w:pPr>
            <w:r/>
            <w:r>
              <w:rPr>
                <w:b w:val="0"/>
              </w:rPr>
              <w:t>Severe BP plus incomplete records</w:t>
            </w:r>
          </w:p>
        </w:tc>
        <w:tc>
          <w:tcPr>
            <w:tcW w:type="dxa" w:w="5256"/>
            <w:vAlign w:val="center"/>
            <w:tcMar>
              <w:top w:w="54" w:type="dxa"/>
              <w:bottom w:w="54" w:type="dxa"/>
              <w:start w:w="64" w:type="dxa"/>
              <w:end w:w="64" w:type="dxa"/>
            </w:tcMar>
            <w:shd w:fill="EDF4FA"/>
          </w:tcPr>
          <w:p>
            <w:pPr>
              <w:pStyle w:val="TableText"/>
            </w:pPr>
            <w:r/>
            <w:r>
              <w:rPr>
                <w:b w:val="0"/>
              </w:rPr>
              <w:t>Urgent action first; no software delay.</w:t>
            </w:r>
          </w:p>
        </w:tc>
      </w:tr>
      <w:tr>
        <w:trPr>
          <w:cantSplit/>
        </w:trPr>
        <w:tc>
          <w:tcPr>
            <w:tcW w:type="dxa" w:w="1224"/>
            <w:vAlign w:val="center"/>
            <w:tcMar>
              <w:top w:w="54" w:type="dxa"/>
              <w:bottom w:w="54" w:type="dxa"/>
              <w:start w:w="64" w:type="dxa"/>
              <w:end w:w="64" w:type="dxa"/>
            </w:tcMar>
          </w:tcPr>
          <w:p>
            <w:pPr>
              <w:pStyle w:val="TableText"/>
            </w:pPr>
            <w:r/>
            <w:r>
              <w:rPr>
                <w:b w:val="0"/>
              </w:rPr>
              <w:t>PHIL-T07</w:t>
            </w:r>
          </w:p>
        </w:tc>
        <w:tc>
          <w:tcPr>
            <w:tcW w:type="dxa" w:w="4392"/>
            <w:vAlign w:val="center"/>
            <w:tcMar>
              <w:top w:w="54" w:type="dxa"/>
              <w:bottom w:w="54" w:type="dxa"/>
              <w:start w:w="64" w:type="dxa"/>
              <w:end w:w="64" w:type="dxa"/>
            </w:tcMar>
          </w:tcPr>
          <w:p>
            <w:pPr>
              <w:pStyle w:val="TableText"/>
            </w:pPr>
            <w:r/>
            <w:r>
              <w:rPr>
                <w:b w:val="0"/>
              </w:rPr>
              <w:t>Two simultaneous HIGH factors</w:t>
            </w:r>
          </w:p>
        </w:tc>
        <w:tc>
          <w:tcPr>
            <w:tcW w:type="dxa" w:w="5256"/>
            <w:vAlign w:val="center"/>
            <w:tcMar>
              <w:top w:w="54" w:type="dxa"/>
              <w:bottom w:w="54" w:type="dxa"/>
              <w:start w:w="64" w:type="dxa"/>
              <w:end w:w="64" w:type="dxa"/>
            </w:tcMar>
          </w:tcPr>
          <w:p>
            <w:pPr>
              <w:pStyle w:val="TableText"/>
            </w:pPr>
            <w:r/>
            <w:r>
              <w:rPr>
                <w:b w:val="0"/>
              </w:rPr>
              <w:t>One HIGH state, both reasons, highest urgency.</w:t>
            </w:r>
          </w:p>
        </w:tc>
      </w:tr>
      <w:tr>
        <w:trPr>
          <w:cantSplit/>
        </w:trPr>
        <w:tc>
          <w:tcPr>
            <w:tcW w:type="dxa" w:w="1224"/>
            <w:vAlign w:val="center"/>
            <w:tcMar>
              <w:top w:w="54" w:type="dxa"/>
              <w:bottom w:w="54" w:type="dxa"/>
              <w:start w:w="64" w:type="dxa"/>
              <w:end w:w="64" w:type="dxa"/>
            </w:tcMar>
            <w:shd w:fill="EDF4FA"/>
          </w:tcPr>
          <w:p>
            <w:pPr>
              <w:pStyle w:val="TableText"/>
            </w:pPr>
            <w:r/>
            <w:r>
              <w:rPr>
                <w:b w:val="0"/>
              </w:rPr>
              <w:t>PHIL-T08</w:t>
            </w:r>
          </w:p>
        </w:tc>
        <w:tc>
          <w:tcPr>
            <w:tcW w:type="dxa" w:w="4392"/>
            <w:vAlign w:val="center"/>
            <w:tcMar>
              <w:top w:w="54" w:type="dxa"/>
              <w:bottom w:w="54" w:type="dxa"/>
              <w:start w:w="64" w:type="dxa"/>
              <w:end w:w="64" w:type="dxa"/>
            </w:tcMar>
            <w:shd w:fill="EDF4FA"/>
          </w:tcPr>
          <w:p>
            <w:pPr>
              <w:pStyle w:val="TableText"/>
            </w:pPr>
            <w:r/>
            <w:r>
              <w:rPr>
                <w:b w:val="0"/>
              </w:rPr>
              <w:t>Three HIGH factors</w:t>
            </w:r>
          </w:p>
        </w:tc>
        <w:tc>
          <w:tcPr>
            <w:tcW w:type="dxa" w:w="5256"/>
            <w:vAlign w:val="center"/>
            <w:tcMar>
              <w:top w:w="54" w:type="dxa"/>
              <w:bottom w:w="54" w:type="dxa"/>
              <w:start w:w="64" w:type="dxa"/>
              <w:end w:w="64" w:type="dxa"/>
            </w:tcMar>
            <w:shd w:fill="EDF4FA"/>
          </w:tcPr>
          <w:p>
            <w:pPr>
              <w:pStyle w:val="TableText"/>
            </w:pPr>
            <w:r/>
            <w:r>
              <w:rPr>
                <w:b w:val="0"/>
              </w:rPr>
              <w:t>No numerical score or VERY HIGH label.</w:t>
            </w:r>
          </w:p>
        </w:tc>
      </w:tr>
      <w:tr>
        <w:trPr>
          <w:cantSplit/>
        </w:trPr>
        <w:tc>
          <w:tcPr>
            <w:tcW w:type="dxa" w:w="1224"/>
            <w:vAlign w:val="center"/>
            <w:tcMar>
              <w:top w:w="54" w:type="dxa"/>
              <w:bottom w:w="54" w:type="dxa"/>
              <w:start w:w="64" w:type="dxa"/>
              <w:end w:w="64" w:type="dxa"/>
            </w:tcMar>
          </w:tcPr>
          <w:p>
            <w:pPr>
              <w:pStyle w:val="TableText"/>
            </w:pPr>
            <w:r/>
            <w:r>
              <w:rPr>
                <w:b w:val="0"/>
              </w:rPr>
              <w:t>PHIL-T09</w:t>
            </w:r>
          </w:p>
        </w:tc>
        <w:tc>
          <w:tcPr>
            <w:tcW w:type="dxa" w:w="4392"/>
            <w:vAlign w:val="center"/>
            <w:tcMar>
              <w:top w:w="54" w:type="dxa"/>
              <w:bottom w:w="54" w:type="dxa"/>
              <w:start w:w="64" w:type="dxa"/>
              <w:end w:w="64" w:type="dxa"/>
            </w:tcMar>
          </w:tcPr>
          <w:p>
            <w:pPr>
              <w:pStyle w:val="TableText"/>
            </w:pPr>
            <w:r/>
            <w:r>
              <w:rPr>
                <w:b w:val="0"/>
              </w:rPr>
              <w:t>ML timeout</w:t>
            </w:r>
          </w:p>
        </w:tc>
        <w:tc>
          <w:tcPr>
            <w:tcW w:type="dxa" w:w="5256"/>
            <w:vAlign w:val="center"/>
            <w:tcMar>
              <w:top w:w="54" w:type="dxa"/>
              <w:bottom w:w="54" w:type="dxa"/>
              <w:start w:w="64" w:type="dxa"/>
              <w:end w:w="64" w:type="dxa"/>
            </w:tcMar>
          </w:tcPr>
          <w:p>
            <w:pPr>
              <w:pStyle w:val="TableText"/>
            </w:pPr>
            <w:r/>
            <w:r>
              <w:rPr>
                <w:b w:val="0"/>
              </w:rPr>
              <w:t>No fabricated result; deterministic/manual pathway.</w:t>
            </w:r>
          </w:p>
        </w:tc>
      </w:tr>
      <w:tr>
        <w:trPr>
          <w:cantSplit/>
        </w:trPr>
        <w:tc>
          <w:tcPr>
            <w:tcW w:type="dxa" w:w="1224"/>
            <w:vAlign w:val="center"/>
            <w:tcMar>
              <w:top w:w="54" w:type="dxa"/>
              <w:bottom w:w="54" w:type="dxa"/>
              <w:start w:w="64" w:type="dxa"/>
              <w:end w:w="64" w:type="dxa"/>
            </w:tcMar>
            <w:shd w:fill="EDF4FA"/>
          </w:tcPr>
          <w:p>
            <w:pPr>
              <w:pStyle w:val="TableText"/>
            </w:pPr>
            <w:r/>
            <w:r>
              <w:rPr>
                <w:b w:val="0"/>
              </w:rPr>
              <w:t>PHIL-T10</w:t>
            </w:r>
          </w:p>
        </w:tc>
        <w:tc>
          <w:tcPr>
            <w:tcW w:type="dxa" w:w="4392"/>
            <w:vAlign w:val="center"/>
            <w:tcMar>
              <w:top w:w="54" w:type="dxa"/>
              <w:bottom w:w="54" w:type="dxa"/>
              <w:start w:w="64" w:type="dxa"/>
              <w:end w:w="64" w:type="dxa"/>
            </w:tcMar>
            <w:shd w:fill="EDF4FA"/>
          </w:tcPr>
          <w:p>
            <w:pPr>
              <w:pStyle w:val="TableText"/>
            </w:pPr>
            <w:r/>
            <w:r>
              <w:rPr>
                <w:b w:val="0"/>
              </w:rPr>
              <w:t>Unknown diabetes value</w:t>
            </w:r>
          </w:p>
        </w:tc>
        <w:tc>
          <w:tcPr>
            <w:tcW w:type="dxa" w:w="5256"/>
            <w:vAlign w:val="center"/>
            <w:tcMar>
              <w:top w:w="54" w:type="dxa"/>
              <w:bottom w:w="54" w:type="dxa"/>
              <w:start w:w="64" w:type="dxa"/>
              <w:end w:w="64" w:type="dxa"/>
            </w:tcMar>
            <w:shd w:fill="EDF4FA"/>
          </w:tcPr>
          <w:p>
            <w:pPr>
              <w:pStyle w:val="TableText"/>
            </w:pPr>
            <w:r/>
            <w:r>
              <w:rPr>
                <w:b w:val="0"/>
              </w:rPr>
              <w:t>Unknown retained; not converted to No.</w:t>
            </w:r>
          </w:p>
        </w:tc>
      </w:tr>
      <w:tr>
        <w:trPr>
          <w:cantSplit/>
        </w:trPr>
        <w:tc>
          <w:tcPr>
            <w:tcW w:type="dxa" w:w="1224"/>
            <w:vAlign w:val="center"/>
            <w:tcMar>
              <w:top w:w="54" w:type="dxa"/>
              <w:bottom w:w="54" w:type="dxa"/>
              <w:start w:w="64" w:type="dxa"/>
              <w:end w:w="64" w:type="dxa"/>
            </w:tcMar>
          </w:tcPr>
          <w:p>
            <w:pPr>
              <w:pStyle w:val="TableText"/>
            </w:pPr>
            <w:r/>
            <w:r>
              <w:rPr>
                <w:b w:val="0"/>
              </w:rPr>
              <w:t>PHIL-T11</w:t>
            </w:r>
          </w:p>
        </w:tc>
        <w:tc>
          <w:tcPr>
            <w:tcW w:type="dxa" w:w="4392"/>
            <w:vAlign w:val="center"/>
            <w:tcMar>
              <w:top w:w="54" w:type="dxa"/>
              <w:bottom w:w="54" w:type="dxa"/>
              <w:start w:w="64" w:type="dxa"/>
              <w:end w:w="64" w:type="dxa"/>
            </w:tcMar>
          </w:tcPr>
          <w:p>
            <w:pPr>
              <w:pStyle w:val="TableText"/>
            </w:pPr>
            <w:r/>
            <w:r>
              <w:rPr>
                <w:b w:val="0"/>
              </w:rPr>
              <w:t>Contradictory previous-CS records</w:t>
            </w:r>
          </w:p>
        </w:tc>
        <w:tc>
          <w:tcPr>
            <w:tcW w:type="dxa" w:w="5256"/>
            <w:vAlign w:val="center"/>
            <w:tcMar>
              <w:top w:w="54" w:type="dxa"/>
              <w:bottom w:w="54" w:type="dxa"/>
              <w:start w:w="64" w:type="dxa"/>
              <w:end w:w="64" w:type="dxa"/>
            </w:tcMar>
          </w:tcPr>
          <w:p>
            <w:pPr>
              <w:pStyle w:val="TableText"/>
            </w:pPr>
            <w:r/>
            <w:r>
              <w:rPr>
                <w:b w:val="0"/>
              </w:rPr>
              <w:t>Conflict displayed and review required.</w:t>
            </w:r>
          </w:p>
        </w:tc>
      </w:tr>
      <w:tr>
        <w:trPr>
          <w:cantSplit/>
        </w:trPr>
        <w:tc>
          <w:tcPr>
            <w:tcW w:type="dxa" w:w="1224"/>
            <w:vAlign w:val="center"/>
            <w:tcMar>
              <w:top w:w="54" w:type="dxa"/>
              <w:bottom w:w="54" w:type="dxa"/>
              <w:start w:w="64" w:type="dxa"/>
              <w:end w:w="64" w:type="dxa"/>
            </w:tcMar>
            <w:shd w:fill="EDF4FA"/>
          </w:tcPr>
          <w:p>
            <w:pPr>
              <w:pStyle w:val="TableText"/>
            </w:pPr>
            <w:r/>
            <w:r>
              <w:rPr>
                <w:b w:val="0"/>
              </w:rPr>
              <w:t>PHIL-T12</w:t>
            </w:r>
          </w:p>
        </w:tc>
        <w:tc>
          <w:tcPr>
            <w:tcW w:type="dxa" w:w="4392"/>
            <w:vAlign w:val="center"/>
            <w:tcMar>
              <w:top w:w="54" w:type="dxa"/>
              <w:bottom w:w="54" w:type="dxa"/>
              <w:start w:w="64" w:type="dxa"/>
              <w:end w:w="64" w:type="dxa"/>
            </w:tcMar>
            <w:shd w:fill="EDF4FA"/>
          </w:tcPr>
          <w:p>
            <w:pPr>
              <w:pStyle w:val="TableText"/>
            </w:pPr>
            <w:r/>
            <w:r>
              <w:rPr>
                <w:b w:val="0"/>
              </w:rPr>
              <w:t>Stale ultrasound report</w:t>
            </w:r>
          </w:p>
        </w:tc>
        <w:tc>
          <w:tcPr>
            <w:tcW w:type="dxa" w:w="5256"/>
            <w:vAlign w:val="center"/>
            <w:tcMar>
              <w:top w:w="54" w:type="dxa"/>
              <w:bottom w:w="54" w:type="dxa"/>
              <w:start w:w="64" w:type="dxa"/>
              <w:end w:w="64" w:type="dxa"/>
            </w:tcMar>
            <w:shd w:fill="EDF4FA"/>
          </w:tcPr>
          <w:p>
            <w:pPr>
              <w:pStyle w:val="TableText"/>
            </w:pPr>
            <w:r/>
            <w:r>
              <w:rPr>
                <w:b w:val="0"/>
              </w:rPr>
              <w:t>Date and verification warning.</w:t>
            </w:r>
          </w:p>
        </w:tc>
      </w:tr>
      <w:tr>
        <w:trPr>
          <w:cantSplit/>
        </w:trPr>
        <w:tc>
          <w:tcPr>
            <w:tcW w:type="dxa" w:w="1224"/>
            <w:vAlign w:val="center"/>
            <w:tcMar>
              <w:top w:w="54" w:type="dxa"/>
              <w:bottom w:w="54" w:type="dxa"/>
              <w:start w:w="64" w:type="dxa"/>
              <w:end w:w="64" w:type="dxa"/>
            </w:tcMar>
          </w:tcPr>
          <w:p>
            <w:pPr>
              <w:pStyle w:val="TableText"/>
            </w:pPr>
            <w:r/>
            <w:r>
              <w:rPr>
                <w:b w:val="0"/>
              </w:rPr>
              <w:t>PHIL-T13</w:t>
            </w:r>
          </w:p>
        </w:tc>
        <w:tc>
          <w:tcPr>
            <w:tcW w:type="dxa" w:w="4392"/>
            <w:vAlign w:val="center"/>
            <w:tcMar>
              <w:top w:w="54" w:type="dxa"/>
              <w:bottom w:w="54" w:type="dxa"/>
              <w:start w:w="64" w:type="dxa"/>
              <w:end w:w="64" w:type="dxa"/>
            </w:tcMar>
          </w:tcPr>
          <w:p>
            <w:pPr>
              <w:pStyle w:val="TableText"/>
            </w:pPr>
            <w:r/>
            <w:r>
              <w:rPr>
                <w:b w:val="0"/>
              </w:rPr>
              <w:t>Referral printed</w:t>
            </w:r>
          </w:p>
        </w:tc>
        <w:tc>
          <w:tcPr>
            <w:tcW w:type="dxa" w:w="5256"/>
            <w:vAlign w:val="center"/>
            <w:tcMar>
              <w:top w:w="54" w:type="dxa"/>
              <w:bottom w:w="54" w:type="dxa"/>
              <w:start w:w="64" w:type="dxa"/>
              <w:end w:w="64" w:type="dxa"/>
            </w:tcMar>
          </w:tcPr>
          <w:p>
            <w:pPr>
              <w:pStyle w:val="TableText"/>
            </w:pPr>
            <w:r/>
            <w:r>
              <w:rPr>
                <w:b w:val="0"/>
              </w:rPr>
              <w:t>Status remains pending until accepted/completed.</w:t>
            </w:r>
          </w:p>
        </w:tc>
      </w:tr>
      <w:tr>
        <w:trPr>
          <w:cantSplit/>
        </w:trPr>
        <w:tc>
          <w:tcPr>
            <w:tcW w:type="dxa" w:w="1224"/>
            <w:vAlign w:val="center"/>
            <w:tcMar>
              <w:top w:w="54" w:type="dxa"/>
              <w:bottom w:w="54" w:type="dxa"/>
              <w:start w:w="64" w:type="dxa"/>
              <w:end w:w="64" w:type="dxa"/>
            </w:tcMar>
            <w:shd w:fill="EDF4FA"/>
          </w:tcPr>
          <w:p>
            <w:pPr>
              <w:pStyle w:val="TableText"/>
            </w:pPr>
            <w:r/>
            <w:r>
              <w:rPr>
                <w:b w:val="0"/>
              </w:rPr>
              <w:t>PHIL-T14</w:t>
            </w:r>
          </w:p>
        </w:tc>
        <w:tc>
          <w:tcPr>
            <w:tcW w:type="dxa" w:w="4392"/>
            <w:vAlign w:val="center"/>
            <w:tcMar>
              <w:top w:w="54" w:type="dxa"/>
              <w:bottom w:w="54" w:type="dxa"/>
              <w:start w:w="64" w:type="dxa"/>
              <w:end w:w="64" w:type="dxa"/>
            </w:tcMar>
            <w:shd w:fill="EDF4FA"/>
          </w:tcPr>
          <w:p>
            <w:pPr>
              <w:pStyle w:val="TableText"/>
            </w:pPr>
            <w:r/>
            <w:r>
              <w:rPr>
                <w:b w:val="0"/>
              </w:rPr>
              <w:t>Referral refused</w:t>
            </w:r>
          </w:p>
        </w:tc>
        <w:tc>
          <w:tcPr>
            <w:tcW w:type="dxa" w:w="5256"/>
            <w:vAlign w:val="center"/>
            <w:tcMar>
              <w:top w:w="54" w:type="dxa"/>
              <w:bottom w:w="54" w:type="dxa"/>
              <w:start w:w="64" w:type="dxa"/>
              <w:end w:w="64" w:type="dxa"/>
            </w:tcMar>
            <w:shd w:fill="EDF4FA"/>
          </w:tcPr>
          <w:p>
            <w:pPr>
              <w:pStyle w:val="TableText"/>
            </w:pPr>
            <w:r/>
            <w:r>
              <w:rPr>
                <w:b w:val="0"/>
              </w:rPr>
              <w:t>HIGH remains; nonjudgmental documentation.</w:t>
            </w:r>
          </w:p>
        </w:tc>
      </w:tr>
      <w:tr>
        <w:trPr>
          <w:cantSplit/>
        </w:trPr>
        <w:tc>
          <w:tcPr>
            <w:tcW w:type="dxa" w:w="1224"/>
            <w:vAlign w:val="center"/>
            <w:tcMar>
              <w:top w:w="54" w:type="dxa"/>
              <w:bottom w:w="54" w:type="dxa"/>
              <w:start w:w="64" w:type="dxa"/>
              <w:end w:w="64" w:type="dxa"/>
            </w:tcMar>
          </w:tcPr>
          <w:p>
            <w:pPr>
              <w:pStyle w:val="TableText"/>
            </w:pPr>
            <w:r/>
            <w:r>
              <w:rPr>
                <w:b w:val="0"/>
              </w:rPr>
              <w:t>PHIL-T15</w:t>
            </w:r>
          </w:p>
        </w:tc>
        <w:tc>
          <w:tcPr>
            <w:tcW w:type="dxa" w:w="4392"/>
            <w:vAlign w:val="center"/>
            <w:tcMar>
              <w:top w:w="54" w:type="dxa"/>
              <w:bottom w:w="54" w:type="dxa"/>
              <w:start w:w="64" w:type="dxa"/>
              <w:end w:w="64" w:type="dxa"/>
            </w:tcMar>
          </w:tcPr>
          <w:p>
            <w:pPr>
              <w:pStyle w:val="TableText"/>
            </w:pPr>
            <w:r/>
            <w:r>
              <w:rPr>
                <w:b w:val="0"/>
              </w:rPr>
              <w:t>Clinician disagrees</w:t>
            </w:r>
          </w:p>
        </w:tc>
        <w:tc>
          <w:tcPr>
            <w:tcW w:type="dxa" w:w="5256"/>
            <w:vAlign w:val="center"/>
            <w:tcMar>
              <w:top w:w="54" w:type="dxa"/>
              <w:bottom w:w="54" w:type="dxa"/>
              <w:start w:w="64" w:type="dxa"/>
              <w:end w:w="64" w:type="dxa"/>
            </w:tcMar>
          </w:tcPr>
          <w:p>
            <w:pPr>
              <w:pStyle w:val="TableText"/>
            </w:pPr>
            <w:r/>
            <w:r>
              <w:rPr>
                <w:b w:val="0"/>
              </w:rPr>
              <w:t>Alternate plan documented; original trace retained.</w:t>
            </w:r>
          </w:p>
        </w:tc>
      </w:tr>
      <w:tr>
        <w:trPr>
          <w:cantSplit/>
        </w:trPr>
        <w:tc>
          <w:tcPr>
            <w:tcW w:type="dxa" w:w="1224"/>
            <w:vAlign w:val="center"/>
            <w:tcMar>
              <w:top w:w="54" w:type="dxa"/>
              <w:bottom w:w="54" w:type="dxa"/>
              <w:start w:w="64" w:type="dxa"/>
              <w:end w:w="64" w:type="dxa"/>
            </w:tcMar>
            <w:shd w:fill="EDF4FA"/>
          </w:tcPr>
          <w:p>
            <w:pPr>
              <w:pStyle w:val="TableText"/>
            </w:pPr>
            <w:r/>
            <w:r>
              <w:rPr>
                <w:b w:val="0"/>
              </w:rPr>
              <w:t>PHIL-T16</w:t>
            </w:r>
          </w:p>
        </w:tc>
        <w:tc>
          <w:tcPr>
            <w:tcW w:type="dxa" w:w="4392"/>
            <w:vAlign w:val="center"/>
            <w:tcMar>
              <w:top w:w="54" w:type="dxa"/>
              <w:bottom w:w="54" w:type="dxa"/>
              <w:start w:w="64" w:type="dxa"/>
              <w:end w:w="64" w:type="dxa"/>
            </w:tcMar>
            <w:shd w:fill="EDF4FA"/>
          </w:tcPr>
          <w:p>
            <w:pPr>
              <w:pStyle w:val="TableText"/>
            </w:pPr>
            <w:r/>
            <w:r>
              <w:rPr>
                <w:b w:val="0"/>
              </w:rPr>
              <w:t>Patient asks whether HIGH means complication</w:t>
            </w:r>
          </w:p>
        </w:tc>
        <w:tc>
          <w:tcPr>
            <w:tcW w:type="dxa" w:w="5256"/>
            <w:vAlign w:val="center"/>
            <w:tcMar>
              <w:top w:w="54" w:type="dxa"/>
              <w:bottom w:w="54" w:type="dxa"/>
              <w:start w:w="64" w:type="dxa"/>
              <w:end w:w="64" w:type="dxa"/>
            </w:tcMar>
            <w:shd w:fill="EDF4FA"/>
          </w:tcPr>
          <w:p>
            <w:pPr>
              <w:pStyle w:val="TableText"/>
            </w:pPr>
            <w:r/>
            <w:r>
              <w:rPr>
                <w:b w:val="0"/>
              </w:rPr>
              <w:t>Explanation states additional review is needed, not certainty.</w:t>
            </w:r>
          </w:p>
        </w:tc>
      </w:tr>
      <w:tr>
        <w:trPr>
          <w:cantSplit/>
        </w:trPr>
        <w:tc>
          <w:tcPr>
            <w:tcW w:type="dxa" w:w="1224"/>
            <w:vAlign w:val="center"/>
            <w:tcMar>
              <w:top w:w="54" w:type="dxa"/>
              <w:bottom w:w="54" w:type="dxa"/>
              <w:start w:w="64" w:type="dxa"/>
              <w:end w:w="64" w:type="dxa"/>
            </w:tcMar>
          </w:tcPr>
          <w:p>
            <w:pPr>
              <w:pStyle w:val="TableText"/>
            </w:pPr>
            <w:r/>
            <w:r>
              <w:rPr>
                <w:b w:val="0"/>
              </w:rPr>
              <w:t>PHIL-T17</w:t>
            </w:r>
          </w:p>
        </w:tc>
        <w:tc>
          <w:tcPr>
            <w:tcW w:type="dxa" w:w="4392"/>
            <w:vAlign w:val="center"/>
            <w:tcMar>
              <w:top w:w="54" w:type="dxa"/>
              <w:bottom w:w="54" w:type="dxa"/>
              <w:start w:w="64" w:type="dxa"/>
              <w:end w:w="64" w:type="dxa"/>
            </w:tcMar>
          </w:tcPr>
          <w:p>
            <w:pPr>
              <w:pStyle w:val="TableText"/>
            </w:pPr>
            <w:r/>
            <w:r>
              <w:rPr>
                <w:b w:val="0"/>
              </w:rPr>
              <w:t>Patient asks whether LOW means safe forever</w:t>
            </w:r>
          </w:p>
        </w:tc>
        <w:tc>
          <w:tcPr>
            <w:tcW w:type="dxa" w:w="5256"/>
            <w:vAlign w:val="center"/>
            <w:tcMar>
              <w:top w:w="54" w:type="dxa"/>
              <w:bottom w:w="54" w:type="dxa"/>
              <w:start w:w="64" w:type="dxa"/>
              <w:end w:w="64" w:type="dxa"/>
            </w:tcMar>
          </w:tcPr>
          <w:p>
            <w:pPr>
              <w:pStyle w:val="TableText"/>
            </w:pPr>
            <w:r/>
            <w:r>
              <w:rPr>
                <w:b w:val="0"/>
              </w:rPr>
              <w:t>Explanation states LOW is current and requires continued care.</w:t>
            </w:r>
          </w:p>
        </w:tc>
      </w:tr>
      <w:tr>
        <w:trPr>
          <w:cantSplit/>
        </w:trPr>
        <w:tc>
          <w:tcPr>
            <w:tcW w:type="dxa" w:w="1224"/>
            <w:vAlign w:val="center"/>
            <w:tcMar>
              <w:top w:w="54" w:type="dxa"/>
              <w:bottom w:w="54" w:type="dxa"/>
              <w:start w:w="64" w:type="dxa"/>
              <w:end w:w="64" w:type="dxa"/>
            </w:tcMar>
            <w:shd w:fill="EDF4FA"/>
          </w:tcPr>
          <w:p>
            <w:pPr>
              <w:pStyle w:val="TableText"/>
            </w:pPr>
            <w:r/>
            <w:r>
              <w:rPr>
                <w:b w:val="0"/>
              </w:rPr>
              <w:t>PHIL-T18</w:t>
            </w:r>
          </w:p>
        </w:tc>
        <w:tc>
          <w:tcPr>
            <w:tcW w:type="dxa" w:w="4392"/>
            <w:vAlign w:val="center"/>
            <w:tcMar>
              <w:top w:w="54" w:type="dxa"/>
              <w:bottom w:w="54" w:type="dxa"/>
              <w:start w:w="64" w:type="dxa"/>
              <w:end w:w="64" w:type="dxa"/>
            </w:tcMar>
            <w:shd w:fill="EDF4FA"/>
          </w:tcPr>
          <w:p>
            <w:pPr>
              <w:pStyle w:val="TableText"/>
            </w:pPr>
            <w:r/>
            <w:r>
              <w:rPr>
                <w:b w:val="0"/>
              </w:rPr>
              <w:t>Feature importance displayed</w:t>
            </w:r>
          </w:p>
        </w:tc>
        <w:tc>
          <w:tcPr>
            <w:tcW w:type="dxa" w:w="5256"/>
            <w:vAlign w:val="center"/>
            <w:tcMar>
              <w:top w:w="54" w:type="dxa"/>
              <w:bottom w:w="54" w:type="dxa"/>
              <w:start w:w="64" w:type="dxa"/>
              <w:end w:w="64" w:type="dxa"/>
            </w:tcMar>
            <w:shd w:fill="EDF4FA"/>
          </w:tcPr>
          <w:p>
            <w:pPr>
              <w:pStyle w:val="TableText"/>
            </w:pPr>
            <w:r/>
            <w:r>
              <w:rPr>
                <w:b w:val="0"/>
              </w:rPr>
              <w:t>Contribution wording only; no causal claim.</w:t>
            </w:r>
          </w:p>
        </w:tc>
      </w:tr>
      <w:tr>
        <w:trPr>
          <w:cantSplit/>
        </w:trPr>
        <w:tc>
          <w:tcPr>
            <w:tcW w:type="dxa" w:w="1224"/>
            <w:vAlign w:val="center"/>
            <w:tcMar>
              <w:top w:w="54" w:type="dxa"/>
              <w:bottom w:w="54" w:type="dxa"/>
              <w:start w:w="64" w:type="dxa"/>
              <w:end w:w="64" w:type="dxa"/>
            </w:tcMar>
          </w:tcPr>
          <w:p>
            <w:pPr>
              <w:pStyle w:val="TableText"/>
            </w:pPr>
            <w:r/>
            <w:r>
              <w:rPr>
                <w:b w:val="0"/>
              </w:rPr>
              <w:t>PHIL-T19</w:t>
            </w:r>
          </w:p>
        </w:tc>
        <w:tc>
          <w:tcPr>
            <w:tcW w:type="dxa" w:w="4392"/>
            <w:vAlign w:val="center"/>
            <w:tcMar>
              <w:top w:w="54" w:type="dxa"/>
              <w:bottom w:w="54" w:type="dxa"/>
              <w:start w:w="64" w:type="dxa"/>
              <w:end w:w="64" w:type="dxa"/>
            </w:tcMar>
          </w:tcPr>
          <w:p>
            <w:pPr>
              <w:pStyle w:val="TableText"/>
            </w:pPr>
            <w:r/>
            <w:r>
              <w:rPr>
                <w:b w:val="0"/>
              </w:rPr>
              <w:t>Delivered patient record</w:t>
            </w:r>
          </w:p>
        </w:tc>
        <w:tc>
          <w:tcPr>
            <w:tcW w:type="dxa" w:w="5256"/>
            <w:vAlign w:val="center"/>
            <w:tcMar>
              <w:top w:w="54" w:type="dxa"/>
              <w:bottom w:w="54" w:type="dxa"/>
              <w:start w:w="64" w:type="dxa"/>
              <w:end w:w="64" w:type="dxa"/>
            </w:tcMar>
          </w:tcPr>
          <w:p>
            <w:pPr>
              <w:pStyle w:val="TableText"/>
            </w:pPr>
            <w:r/>
            <w:r>
              <w:rPr>
                <w:b w:val="0"/>
              </w:rPr>
              <w:t>Read-only historical assessment.</w:t>
            </w:r>
          </w:p>
        </w:tc>
      </w:tr>
      <w:tr>
        <w:trPr>
          <w:cantSplit/>
        </w:trPr>
        <w:tc>
          <w:tcPr>
            <w:tcW w:type="dxa" w:w="1224"/>
            <w:vAlign w:val="center"/>
            <w:tcMar>
              <w:top w:w="54" w:type="dxa"/>
              <w:bottom w:w="54" w:type="dxa"/>
              <w:start w:w="64" w:type="dxa"/>
              <w:end w:w="64" w:type="dxa"/>
            </w:tcMar>
            <w:shd w:fill="EDF4FA"/>
          </w:tcPr>
          <w:p>
            <w:pPr>
              <w:pStyle w:val="TableText"/>
            </w:pPr>
            <w:r/>
            <w:r>
              <w:rPr>
                <w:b w:val="0"/>
              </w:rPr>
              <w:t>PHIL-T20</w:t>
            </w:r>
          </w:p>
        </w:tc>
        <w:tc>
          <w:tcPr>
            <w:tcW w:type="dxa" w:w="4392"/>
            <w:vAlign w:val="center"/>
            <w:tcMar>
              <w:top w:w="54" w:type="dxa"/>
              <w:bottom w:w="54" w:type="dxa"/>
              <w:start w:w="64" w:type="dxa"/>
              <w:end w:w="64" w:type="dxa"/>
            </w:tcMar>
            <w:shd w:fill="EDF4FA"/>
          </w:tcPr>
          <w:p>
            <w:pPr>
              <w:pStyle w:val="TableText"/>
            </w:pPr>
            <w:r/>
            <w:r>
              <w:rPr>
                <w:b w:val="0"/>
              </w:rPr>
              <w:t>New pregnancy</w:t>
            </w:r>
          </w:p>
        </w:tc>
        <w:tc>
          <w:tcPr>
            <w:tcW w:type="dxa" w:w="5256"/>
            <w:vAlign w:val="center"/>
            <w:tcMar>
              <w:top w:w="54" w:type="dxa"/>
              <w:bottom w:w="54" w:type="dxa"/>
              <w:start w:w="64" w:type="dxa"/>
              <w:end w:w="64" w:type="dxa"/>
            </w:tcMar>
            <w:shd w:fill="EDF4FA"/>
          </w:tcPr>
          <w:p>
            <w:pPr>
              <w:pStyle w:val="TableText"/>
            </w:pPr>
            <w:r/>
            <w:r>
              <w:rPr>
                <w:b w:val="0"/>
              </w:rPr>
              <w:t>New assessment with reconfirmed historical factors.</w:t>
            </w:r>
          </w:p>
        </w:tc>
      </w:tr>
    </w:tbl>
    <w:p>
      <w:pPr>
        <w:spacing w:after="20"/>
      </w:pPr>
    </w:p>
    <w:p>
      <w:pPr>
        <w:pStyle w:val="Heading1"/>
      </w:pPr>
      <w:r>
        <w:t>16. Governance Requirements</w:t>
      </w:r>
    </w:p>
    <w:p>
      <w:pPr>
        <w:pStyle w:val="ListNumber"/>
        <w:spacing w:after="36"/>
      </w:pPr>
      <w:r>
        <w:t>Approve the final philosophy, terminology, and system invariants through qualified clinical governance.</w:t>
      </w:r>
    </w:p>
    <w:p>
      <w:pPr>
        <w:pStyle w:val="ListNumber"/>
        <w:spacing w:after="36"/>
      </w:pPr>
      <w:r>
        <w:t>Maintain a single authoritative version of the risk-state definitions and precedence rules.</w:t>
      </w:r>
    </w:p>
    <w:p>
      <w:pPr>
        <w:pStyle w:val="ListNumber"/>
        <w:spacing w:after="36"/>
      </w:pPr>
      <w:r>
        <w:t>Ensure that all Laravel controllers, Python interfaces, views, referral documents, emails, and tests use the same identifiers and logic.</w:t>
      </w:r>
    </w:p>
    <w:p>
      <w:pPr>
        <w:pStyle w:val="ListNumber"/>
        <w:spacing w:after="36"/>
      </w:pPr>
      <w:r>
        <w:t>Treat any mismatch between the approved specification and software behavior as a release-blocking defect.</w:t>
      </w:r>
    </w:p>
    <w:p>
      <w:pPr>
        <w:pStyle w:val="ListNumber"/>
        <w:spacing w:after="36"/>
      </w:pPr>
      <w:r>
        <w:t>Document every threshold as a direct guideline recommendation, supported association, project decision, safety control, or local adaptation.</w:t>
      </w:r>
    </w:p>
    <w:p>
      <w:pPr>
        <w:pStyle w:val="ListNumber"/>
        <w:spacing w:after="36"/>
      </w:pPr>
      <w:r>
        <w:t>Require model validation separately from deterministic-rule verification.</w:t>
      </w:r>
    </w:p>
    <w:p>
      <w:pPr>
        <w:pStyle w:val="ListNumber"/>
        <w:spacing w:after="36"/>
      </w:pPr>
      <w:r>
        <w:t>Require local referral-capability validation before supervised live use.</w:t>
      </w:r>
    </w:p>
    <w:p>
      <w:pPr>
        <w:pStyle w:val="ListNumber"/>
        <w:spacing w:after="36"/>
      </w:pPr>
      <w:r>
        <w:t>Monitor false LOW, urgent delays, over-referral, unresolved referrals, patient refusal, data quality, and user overreliance.</w:t>
      </w:r>
    </w:p>
    <w:p>
      <w:pPr>
        <w:pStyle w:val="ListNumber"/>
        <w:spacing w:after="36"/>
      </w:pPr>
      <w:r>
        <w:t>Preserve historical versions and support rollback after safety-critical changes.</w:t>
      </w:r>
    </w:p>
    <w:p>
      <w:pPr>
        <w:pStyle w:val="ListNumber"/>
        <w:spacing w:after="36"/>
      </w:pPr>
      <w:r>
        <w:t>Review the framework after any major guideline, workflow, database, model, clinic-capability, or legal change.</w:t>
      </w:r>
    </w:p>
    <w:p>
      <w:pPr>
        <w:pStyle w:val="Heading1"/>
      </w:pPr>
      <w:r>
        <w:t>17. Panel Defense Questions and Model Answers</w:t>
      </w:r>
    </w:p>
    <w:p>
      <w:pPr>
        <w:keepNext/>
      </w:pPr>
      <w:r>
        <w:rPr>
          <w:b/>
          <w:color w:val="17365D"/>
        </w:rPr>
        <w:t>Q: Why do you call it a risk index if there is no numerical score?</w:t>
      </w:r>
    </w:p>
    <w:p>
      <w:pPr>
        <w:ind w:left="288"/>
      </w:pPr>
      <w:r>
        <w:t>A: Index refers to the organized classification and tracking of risk states, reasons, urgency, and actions. It is not a point-based obstetric score.</w:t>
      </w:r>
    </w:p>
    <w:p>
      <w:pPr>
        <w:keepNext/>
      </w:pPr>
      <w:r>
        <w:rPr>
          <w:b/>
          <w:color w:val="17365D"/>
        </w:rPr>
        <w:t>Q: Why use both rules and Random Forest?</w:t>
      </w:r>
    </w:p>
    <w:p>
      <w:pPr>
        <w:ind w:left="288"/>
      </w:pPr>
      <w:r>
        <w:t>A: Rules protect known clinical safety factors, while the model can identify learned multivariable patterns. Their roles are separate and transparent.</w:t>
      </w:r>
    </w:p>
    <w:p>
      <w:pPr>
        <w:keepNext/>
      </w:pPr>
      <w:r>
        <w:rPr>
          <w:b/>
          <w:color w:val="17365D"/>
        </w:rPr>
        <w:t>Q: Why does a rule override ML LOW?</w:t>
      </w:r>
    </w:p>
    <w:p>
      <w:pPr>
        <w:ind w:left="288"/>
      </w:pPr>
      <w:r>
        <w:t>A: A statistical model may be wrong or poorly generalized. A verified clinical safety threshold must not be hidden by a reassuring prediction.</w:t>
      </w:r>
    </w:p>
    <w:p>
      <w:pPr>
        <w:keepNext/>
      </w:pPr>
      <w:r>
        <w:rPr>
          <w:b/>
          <w:color w:val="17365D"/>
        </w:rPr>
        <w:t>Q: Why does missing data produce INCOMPLETE rather than LOW?</w:t>
      </w:r>
    </w:p>
    <w:p>
      <w:pPr>
        <w:ind w:left="288"/>
      </w:pPr>
      <w:r>
        <w:t>A: Missing information is not evidence of normality. INCOMPLETE prevents false reassurance.</w:t>
      </w:r>
    </w:p>
    <w:p>
      <w:pPr>
        <w:keepNext/>
      </w:pPr>
      <w:r>
        <w:rPr>
          <w:b/>
          <w:color w:val="17365D"/>
        </w:rPr>
        <w:t>Q: Does HIGH mean the patient definitely has a complication?</w:t>
      </w:r>
    </w:p>
    <w:p>
      <w:pPr>
        <w:ind w:left="288"/>
      </w:pPr>
      <w:r>
        <w:t>A: No. It means additional assessment, referral, or higher-level care planning is recommended.</w:t>
      </w:r>
    </w:p>
    <w:p>
      <w:pPr>
        <w:keepNext/>
      </w:pPr>
      <w:r>
        <w:rPr>
          <w:b/>
          <w:color w:val="17365D"/>
        </w:rPr>
        <w:t>Q: Why not create MODERATE or VERY HIGH?</w:t>
      </w:r>
    </w:p>
    <w:p>
      <w:pPr>
        <w:ind w:left="288"/>
      </w:pPr>
      <w:r>
        <w:t>A: Those categories are not validated in the project. Urgency is handled separately from the three final assessment states.</w:t>
      </w:r>
    </w:p>
    <w:p>
      <w:pPr>
        <w:keepNext/>
      </w:pPr>
      <w:r>
        <w:rPr>
          <w:b/>
          <w:color w:val="17365D"/>
        </w:rPr>
        <w:t>Q: Can the CDSS decide that a patient cannot deliver in the lying-in clinic?</w:t>
      </w:r>
    </w:p>
    <w:p>
      <w:pPr>
        <w:ind w:left="288"/>
      </w:pPr>
      <w:r>
        <w:t>A: It can flag a capability mismatch and recommend hospital review, but final clinical decisions remain with qualified professionals and the referral facility.</w:t>
      </w:r>
    </w:p>
    <w:p>
      <w:pPr>
        <w:keepNext/>
      </w:pPr>
      <w:r>
        <w:rPr>
          <w:b/>
          <w:color w:val="17365D"/>
        </w:rPr>
        <w:t>Q: What makes the framework explainable?</w:t>
      </w:r>
    </w:p>
    <w:p>
      <w:pPr>
        <w:ind w:left="288"/>
      </w:pPr>
      <w:r>
        <w:t>A: The system shows actual patient inputs, active rules, model status, data gaps, precedence, recommendation, limitations, and evidence.</w:t>
      </w:r>
    </w:p>
    <w:p>
      <w:pPr>
        <w:keepNext/>
      </w:pPr>
      <w:r>
        <w:rPr>
          <w:b/>
          <w:color w:val="17365D"/>
        </w:rPr>
        <w:t>Q: How does the framework fit the Philippine setting?</w:t>
      </w:r>
    </w:p>
    <w:p>
      <w:pPr>
        <w:ind w:left="288"/>
      </w:pPr>
      <w:r>
        <w:t>A: It assumes limited lying-in capability and integrates real hospital referral, transport, acceptance, completion, and refusal processes.</w:t>
      </w:r>
    </w:p>
    <w:p>
      <w:pPr>
        <w:keepNext/>
      </w:pPr>
      <w:r>
        <w:rPr>
          <w:b/>
          <w:color w:val="17365D"/>
        </w:rPr>
        <w:t>Q: What is the strongest limitation?</w:t>
      </w:r>
    </w:p>
    <w:p>
      <w:pPr>
        <w:ind w:left="288"/>
      </w:pPr>
      <w:r>
        <w:t>A: The software cannot replace clinical examination, diagnosis, hospital capacity, transport, or professional judgment.</w:t>
      </w:r>
    </w:p>
    <w:p>
      <w:pPr>
        <w:pStyle w:val="Heading1"/>
      </w:pPr>
      <w:r>
        <w:t>18. Final Risk Framework Philosophy Statement</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Approved foundational statement</w:t>
              <w:br/>
            </w:r>
            <w:r>
              <w:t>The Risk Index Framework shall operate as a categorical, hybrid, safety-first clinical decision-support architecture. It shall combine versioned deterministic clinical rules with a validated Random Forest output without averaging, scoring, or allowing a LOW model result to cancel a verified clinical safety factor. HIGH shall indicate that additional assessment, referral, or higher-level capability is recommended; LOW shall be produced only after complete required records, absence of deterministic HIGH factors, and valid LOW model output; and ASSESSMENT INCOMPLETE shall identify insufficient or invalid information when no verified HIGH factor is present. Urgency shall be represented separately from the assessment category. Multiple factors shall preserve every reason and use the highest approved urgency without creating an unvalidated numerical or additional risk class. The framework shall treat referral completion, explanation, uncertainty, auditability, human oversight, equity, privacy, and local facility capability as integral safety functions. It shall not diagnose disease, prescribe treatment, interpret ultrasound images, determine delivery mode or timing, guarantee outcomes, or replace professional judgment.</w:t>
            </w:r>
          </w:p>
        </w:tc>
      </w:tr>
    </w:tbl>
    <w:p>
      <w:pPr>
        <w:spacing w:after="20"/>
      </w:pPr>
    </w:p>
    <w:p>
      <w:pPr>
        <w:pStyle w:val="Heading1"/>
      </w:pPr>
      <w:r>
        <w:t>19. References</w:t>
      </w:r>
    </w:p>
    <w:p>
      <w:r>
        <w:t>Official guideline, regulatory, and institutional sources are prioritized. Accessed July 2026. URLs are clickable.</w:t>
      </w:r>
    </w:p>
    <w:p>
      <w:pPr>
        <w:pStyle w:val="Reference"/>
        <w:ind w:left="259" w:hanging="259"/>
      </w:pPr>
      <w:r>
        <w:t xml:space="preserve">[1] World Health Organization. SMART Guidelines. current programme. </w:t>
      </w:r>
      <w:hyperlink r:id="rId11">
        <w:r>
          <w:rPr>
            <w:color w:val="2F75B5"/>
            <w:u w:val="single"/>
          </w:rPr>
          <w:t>https://www.who.int/teams/digital-health-and-innovation/smart-guidelines</w:t>
        </w:r>
      </w:hyperlink>
    </w:p>
    <w:p>
      <w:pPr>
        <w:pStyle w:val="Reference"/>
        <w:ind w:left="259" w:hanging="259"/>
      </w:pPr>
      <w:r>
        <w:t xml:space="preserve">[2] World Health Organization. Digital Adaptation Kit for Antenatal Care: Operational requirements for implementing WHO recommendations in digital systems. 2021. </w:t>
      </w:r>
      <w:hyperlink r:id="rId12">
        <w:r>
          <w:rPr>
            <w:color w:val="2F75B5"/>
            <w:u w:val="single"/>
          </w:rPr>
          <w:t>https://www.who.int/publications/i/item/9789240020306</w:t>
        </w:r>
      </w:hyperlink>
    </w:p>
    <w:p>
      <w:pPr>
        <w:pStyle w:val="Reference"/>
        <w:ind w:left="259" w:hanging="259"/>
      </w:pPr>
      <w:r>
        <w:t xml:space="preserve">[3] World Health Organization. SMART Guidelines - Digital Adaptation Kits: implementation research and technical support. 2022. </w:t>
      </w:r>
      <w:hyperlink r:id="rId13">
        <w:r>
          <w:rPr>
            <w:color w:val="2F75B5"/>
            <w:u w:val="single"/>
          </w:rPr>
          <w:t>https://www.who.int/publications/m/item/who-digital-accelerator-kits</w:t>
        </w:r>
      </w:hyperlink>
    </w:p>
    <w:p>
      <w:pPr>
        <w:pStyle w:val="Reference"/>
        <w:ind w:left="259" w:hanging="259"/>
      </w:pPr>
      <w:r>
        <w:t xml:space="preserve">[4] World Health Organization. Decision-support logic - SMART DAK for self-monitoring of blood pressure in pregnancy. 2025. </w:t>
      </w:r>
      <w:hyperlink r:id="rId14">
        <w:r>
          <w:rPr>
            <w:color w:val="2F75B5"/>
            <w:u w:val="single"/>
          </w:rPr>
          <w:t>https://smart.who.int/dak-smbp/decision-logic.html</w:t>
        </w:r>
      </w:hyperlink>
    </w:p>
    <w:p>
      <w:pPr>
        <w:pStyle w:val="Reference"/>
        <w:ind w:left="259" w:hanging="259"/>
      </w:pPr>
      <w:r>
        <w:t xml:space="preserve">[5] World Health Organization. Recommendations on digital interventions for health system strengthening. 2019. </w:t>
      </w:r>
      <w:hyperlink r:id="rId15">
        <w:r>
          <w:rPr>
            <w:color w:val="2F75B5"/>
            <w:u w:val="single"/>
          </w:rPr>
          <w:t>https://www.who.int/publications/i/item/9789241550505</w:t>
        </w:r>
      </w:hyperlink>
    </w:p>
    <w:p>
      <w:pPr>
        <w:pStyle w:val="Reference"/>
        <w:ind w:left="259" w:hanging="259"/>
      </w:pPr>
      <w:r>
        <w:t xml:space="preserve">[6] World Health Organization. Ethics and governance of artificial intelligence for health. 2021. </w:t>
      </w:r>
      <w:hyperlink r:id="rId16">
        <w:r>
          <w:rPr>
            <w:color w:val="2F75B5"/>
            <w:u w:val="single"/>
          </w:rPr>
          <w:t>https://www.who.int/publications/i/item/9789240029200</w:t>
        </w:r>
      </w:hyperlink>
    </w:p>
    <w:p>
      <w:pPr>
        <w:pStyle w:val="Reference"/>
        <w:ind w:left="259" w:hanging="259"/>
      </w:pPr>
      <w:r>
        <w:t xml:space="preserve">[7] National Institute for Health and Care Excellence. Evidence standards framework for digital health technologies (ECD7). 2018; updated 2022. </w:t>
      </w:r>
      <w:hyperlink r:id="rId17">
        <w:r>
          <w:rPr>
            <w:color w:val="2F75B5"/>
            <w:u w:val="single"/>
          </w:rPr>
          <w:t>https://www.nice.org.uk/corporate/ecd7</w:t>
        </w:r>
      </w:hyperlink>
    </w:p>
    <w:p>
      <w:pPr>
        <w:pStyle w:val="Reference"/>
        <w:ind w:left="259" w:hanging="259"/>
      </w:pPr>
      <w:r>
        <w:t xml:space="preserve">[8] National Institute for Health and Care Excellence. Classification of digital health technologies. 2022. </w:t>
      </w:r>
      <w:hyperlink r:id="rId18">
        <w:r>
          <w:rPr>
            <w:color w:val="2F75B5"/>
            <w:u w:val="single"/>
          </w:rPr>
          <w:t>https://www.nice.org.uk/corporate/ecd7/chapter/section-b-classification-of-digital-health-technologies</w:t>
        </w:r>
      </w:hyperlink>
    </w:p>
    <w:p>
      <w:pPr>
        <w:pStyle w:val="Reference"/>
        <w:ind w:left="259" w:hanging="259"/>
      </w:pPr>
      <w:r>
        <w:t xml:space="preserve">[9] National Institute for Health and Care Excellence. Evidence standards tables. 2022. </w:t>
      </w:r>
      <w:hyperlink r:id="rId19">
        <w:r>
          <w:rPr>
            <w:color w:val="2F75B5"/>
            <w:u w:val="single"/>
          </w:rPr>
          <w:t>https://www.nice.org.uk/corporate/ecd7/chapter/section-c-evidence-standards-tables</w:t>
        </w:r>
      </w:hyperlink>
    </w:p>
    <w:p>
      <w:pPr>
        <w:pStyle w:val="Reference"/>
        <w:ind w:left="259" w:hanging="259"/>
      </w:pPr>
      <w:r>
        <w:t xml:space="preserve">[10] U.S. Food and Drug Administration. Clinical Decision Support Software Guidance for Industry and FDA Staff. 2026. </w:t>
      </w:r>
      <w:hyperlink r:id="rId20">
        <w:r>
          <w:rPr>
            <w:color w:val="2F75B5"/>
            <w:u w:val="single"/>
          </w:rPr>
          <w:t>https://www.fda.gov/regulatory-information/search-fda-guidance-documents/clinical-decision-support-software</w:t>
        </w:r>
      </w:hyperlink>
    </w:p>
    <w:p>
      <w:pPr>
        <w:pStyle w:val="Reference"/>
        <w:ind w:left="259" w:hanging="259"/>
      </w:pPr>
      <w:r>
        <w:t xml:space="preserve">[11] International Medical Device Regulators Forum. Software as a Medical Device: Clinical Evaluation. 2017. </w:t>
      </w:r>
      <w:hyperlink r:id="rId21">
        <w:r>
          <w:rPr>
            <w:color w:val="2F75B5"/>
            <w:u w:val="single"/>
          </w:rPr>
          <w:t>https://www.imdrf.org/documents/software-medical-device-samd-clinical-evaluation</w:t>
        </w:r>
      </w:hyperlink>
    </w:p>
    <w:p>
      <w:pPr>
        <w:pStyle w:val="Reference"/>
        <w:ind w:left="259" w:hanging="259"/>
      </w:pPr>
      <w:r>
        <w:t xml:space="preserve">[12] Agency for Healthcare Research and Quality. Clinical Decision Support and the Five Rights model. current online resources. </w:t>
      </w:r>
      <w:hyperlink r:id="rId22">
        <w:r>
          <w:rPr>
            <w:color w:val="2F75B5"/>
            <w:u w:val="single"/>
          </w:rPr>
          <w:t>https://www.ahrq.gov/</w:t>
        </w:r>
      </w:hyperlink>
    </w:p>
    <w:p>
      <w:pPr>
        <w:pStyle w:val="Reference"/>
        <w:ind w:left="259" w:hanging="259"/>
      </w:pPr>
      <w:r>
        <w:t xml:space="preserve">[13] Department of Health, Philippines. Administrative Order No. 2007-0039: Regulation of Birthing Homes. 2007. </w:t>
      </w:r>
      <w:hyperlink r:id="rId23">
        <w:r>
          <w:rPr>
            <w:color w:val="2F75B5"/>
            <w:u w:val="single"/>
          </w:rPr>
          <w:t>https://elibrary.judiciary.gov.ph/thebookshelf/showdocs/10/52132</w:t>
        </w:r>
      </w:hyperlink>
    </w:p>
    <w:p>
      <w:pPr>
        <w:pStyle w:val="Reference"/>
        <w:ind w:left="259" w:hanging="259"/>
      </w:pPr>
      <w:r>
        <w:t xml:space="preserve">[14] Philippine Health Insurance Corporation. Women about to give birth may avail themselves of PhilHealth benefits. 2016. </w:t>
      </w:r>
      <w:hyperlink r:id="rId24">
        <w:r>
          <w:rPr>
            <w:color w:val="2F75B5"/>
            <w:u w:val="single"/>
          </w:rPr>
          <w:t>https://www.philhealth.gov.ph/news/2016/pregnancy_benefits.html</w:t>
        </w:r>
      </w:hyperlink>
    </w:p>
    <w:p>
      <w:pPr>
        <w:pStyle w:val="Reference"/>
        <w:ind w:left="259" w:hanging="259"/>
      </w:pPr>
      <w:r>
        <w:t xml:space="preserve">[15] National Privacy Commission, Philippines. The right to be informed. current online guidance. </w:t>
      </w:r>
      <w:hyperlink r:id="rId25">
        <w:r>
          <w:rPr>
            <w:color w:val="2F75B5"/>
            <w:u w:val="single"/>
          </w:rPr>
          <w:t>https://privacy.gov.ph/the-right-to-be-informed/</w:t>
        </w:r>
      </w:hyperlink>
    </w:p>
    <w:p>
      <w:pPr>
        <w:pStyle w:val="Heading1"/>
      </w:pPr>
      <w:r>
        <w:t>Appendix A. Risk Framework Philosophy Checklist</w:t>
      </w:r>
    </w:p>
    <w:p>
      <w:pPr>
        <w:pStyle w:val="ListBullet"/>
        <w:spacing w:after="36"/>
      </w:pPr>
      <w:r>
        <w:t>The framework is described as categorical and hybrid, not as a validated numerical score.</w:t>
      </w:r>
    </w:p>
    <w:p>
      <w:pPr>
        <w:pStyle w:val="ListBullet"/>
        <w:spacing w:after="36"/>
      </w:pPr>
      <w:r>
        <w:t>HIGH, LOW, and ASSESSMENT INCOMPLETE have explicit meanings and limitations.</w:t>
      </w:r>
    </w:p>
    <w:p>
      <w:pPr>
        <w:pStyle w:val="ListBullet"/>
        <w:spacing w:after="36"/>
      </w:pPr>
      <w:r>
        <w:t>Urgency is represented separately from the assessment state.</w:t>
      </w:r>
    </w:p>
    <w:p>
      <w:pPr>
        <w:pStyle w:val="ListBullet"/>
        <w:spacing w:after="36"/>
      </w:pPr>
      <w:r>
        <w:t>Deterministic rules override ML LOW and ML failure.</w:t>
      </w:r>
    </w:p>
    <w:p>
      <w:pPr>
        <w:pStyle w:val="ListBullet"/>
        <w:spacing w:after="36"/>
      </w:pPr>
      <w:r>
        <w:t>LOW requires complete records, no deterministic HIGH, and valid ML LOW.</w:t>
      </w:r>
    </w:p>
    <w:p>
      <w:pPr>
        <w:pStyle w:val="ListBullet"/>
        <w:spacing w:after="36"/>
      </w:pPr>
      <w:r>
        <w:t>Missing, unknown, stale, invalid, and contradictory information remain visible.</w:t>
      </w:r>
    </w:p>
    <w:p>
      <w:pPr>
        <w:pStyle w:val="ListBullet"/>
        <w:spacing w:after="36"/>
      </w:pPr>
      <w:r>
        <w:t>Multiple factors preserve reasons but do not create an unsupported category or probability.</w:t>
      </w:r>
    </w:p>
    <w:p>
      <w:pPr>
        <w:pStyle w:val="ListBullet"/>
        <w:spacing w:after="36"/>
      </w:pPr>
      <w:r>
        <w:t>Recommendations are referral-oriented and remain within clinic scope.</w:t>
      </w:r>
    </w:p>
    <w:p>
      <w:pPr>
        <w:pStyle w:val="ListBullet"/>
        <w:spacing w:after="36"/>
      </w:pPr>
      <w:r>
        <w:t>Explanations identify the actual decision pathway.</w:t>
      </w:r>
    </w:p>
    <w:p>
      <w:pPr>
        <w:pStyle w:val="ListBullet"/>
        <w:spacing w:after="36"/>
      </w:pPr>
      <w:r>
        <w:t>Referral creation and completion are distinct.</w:t>
      </w:r>
    </w:p>
    <w:p>
      <w:pPr>
        <w:pStyle w:val="ListBullet"/>
        <w:spacing w:after="36"/>
      </w:pPr>
      <w:r>
        <w:t>Patient refusal does not downgrade risk.</w:t>
      </w:r>
    </w:p>
    <w:p>
      <w:pPr>
        <w:pStyle w:val="ListBullet"/>
        <w:spacing w:after="36"/>
      </w:pPr>
      <w:r>
        <w:t>Human review, auditability, privacy, equity, and lifecycle governance are mandatory.</w:t>
      </w:r>
    </w:p>
    <w:p>
      <w:pPr>
        <w:pStyle w:val="Heading1"/>
      </w:pPr>
      <w:r>
        <w:t>Appendix B. Terminology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vAlign w:val="center"/>
            <w:tcMar>
              <w:top w:w="54" w:type="dxa"/>
              <w:bottom w:w="54" w:type="dxa"/>
              <w:start w:w="64" w:type="dxa"/>
              <w:end w:w="64" w:type="dxa"/>
            </w:tcMar>
            <w:shd w:fill="17365D"/>
          </w:tcPr>
          <w:p>
            <w:pPr>
              <w:pStyle w:val="TableHeader"/>
            </w:pPr>
            <w:r/>
            <w:r>
              <w:rPr>
                <w:b/>
                <w:color w:val="FFFFFF"/>
              </w:rPr>
              <w:t>Preferred term</w:t>
            </w:r>
          </w:p>
        </w:tc>
        <w:tc>
          <w:tcPr>
            <w:tcW w:type="dxa" w:w="6624"/>
            <w:vAlign w:val="center"/>
            <w:tcMar>
              <w:top w:w="54" w:type="dxa"/>
              <w:bottom w:w="54" w:type="dxa"/>
              <w:start w:w="64" w:type="dxa"/>
              <w:end w:w="64" w:type="dxa"/>
            </w:tcMar>
            <w:shd w:fill="17365D"/>
          </w:tcPr>
          <w:p>
            <w:pPr>
              <w:pStyle w:val="TableHeader"/>
            </w:pPr>
            <w:r/>
            <w:r>
              <w:rPr>
                <w:b/>
                <w:color w:val="FFFFFF"/>
              </w:rPr>
              <w:t>Avoid unless separately validated</w:t>
            </w:r>
          </w:p>
        </w:tc>
      </w:tr>
      <w:tr>
        <w:trPr>
          <w:cantSplit/>
        </w:trPr>
        <w:tc>
          <w:tcPr>
            <w:tcW w:type="dxa" w:w="3888"/>
            <w:vAlign w:val="center"/>
            <w:tcMar>
              <w:top w:w="54" w:type="dxa"/>
              <w:bottom w:w="54" w:type="dxa"/>
              <w:start w:w="64" w:type="dxa"/>
              <w:end w:w="64" w:type="dxa"/>
            </w:tcMar>
          </w:tcPr>
          <w:p>
            <w:pPr>
              <w:pStyle w:val="TableText"/>
            </w:pPr>
            <w:r/>
            <w:r>
              <w:rPr>
                <w:b w:val="0"/>
              </w:rPr>
              <w:t>Assessment state</w:t>
            </w:r>
          </w:p>
        </w:tc>
        <w:tc>
          <w:tcPr>
            <w:tcW w:type="dxa" w:w="6624"/>
            <w:vAlign w:val="center"/>
            <w:tcMar>
              <w:top w:w="54" w:type="dxa"/>
              <w:bottom w:w="54" w:type="dxa"/>
              <w:start w:w="64" w:type="dxa"/>
              <w:end w:w="64" w:type="dxa"/>
            </w:tcMar>
          </w:tcPr>
          <w:p>
            <w:pPr>
              <w:pStyle w:val="TableText"/>
            </w:pPr>
            <w:r/>
            <w:r>
              <w:rPr>
                <w:b w:val="0"/>
              </w:rPr>
              <w:t>Diagnostic category</w:t>
            </w:r>
          </w:p>
        </w:tc>
      </w:tr>
      <w:tr>
        <w:trPr>
          <w:cantSplit/>
        </w:trPr>
        <w:tc>
          <w:tcPr>
            <w:tcW w:type="dxa" w:w="3888"/>
            <w:vAlign w:val="center"/>
            <w:tcMar>
              <w:top w:w="54" w:type="dxa"/>
              <w:bottom w:w="54" w:type="dxa"/>
              <w:start w:w="64" w:type="dxa"/>
              <w:end w:w="64" w:type="dxa"/>
            </w:tcMar>
            <w:shd w:fill="EDF4FA"/>
          </w:tcPr>
          <w:p>
            <w:pPr>
              <w:pStyle w:val="TableText"/>
            </w:pPr>
            <w:r/>
            <w:r>
              <w:rPr>
                <w:b w:val="0"/>
              </w:rPr>
              <w:t>HIGH</w:t>
            </w:r>
          </w:p>
        </w:tc>
        <w:tc>
          <w:tcPr>
            <w:tcW w:type="dxa" w:w="6624"/>
            <w:vAlign w:val="center"/>
            <w:tcMar>
              <w:top w:w="54" w:type="dxa"/>
              <w:bottom w:w="54" w:type="dxa"/>
              <w:start w:w="64" w:type="dxa"/>
              <w:end w:w="64" w:type="dxa"/>
            </w:tcMar>
            <w:shd w:fill="EDF4FA"/>
          </w:tcPr>
          <w:p>
            <w:pPr>
              <w:pStyle w:val="TableText"/>
            </w:pPr>
            <w:r/>
            <w:r>
              <w:rPr>
                <w:b w:val="0"/>
              </w:rPr>
              <w:t>Confirmed high-risk pregnancy</w:t>
            </w:r>
          </w:p>
        </w:tc>
      </w:tr>
      <w:tr>
        <w:trPr>
          <w:cantSplit/>
        </w:trPr>
        <w:tc>
          <w:tcPr>
            <w:tcW w:type="dxa" w:w="3888"/>
            <w:vAlign w:val="center"/>
            <w:tcMar>
              <w:top w:w="54" w:type="dxa"/>
              <w:bottom w:w="54" w:type="dxa"/>
              <w:start w:w="64" w:type="dxa"/>
              <w:end w:w="64" w:type="dxa"/>
            </w:tcMar>
          </w:tcPr>
          <w:p>
            <w:pPr>
              <w:pStyle w:val="TableText"/>
            </w:pPr>
            <w:r/>
            <w:r>
              <w:rPr>
                <w:b w:val="0"/>
              </w:rPr>
              <w:t>LOW</w:t>
            </w:r>
          </w:p>
        </w:tc>
        <w:tc>
          <w:tcPr>
            <w:tcW w:type="dxa" w:w="6624"/>
            <w:vAlign w:val="center"/>
            <w:tcMar>
              <w:top w:w="54" w:type="dxa"/>
              <w:bottom w:w="54" w:type="dxa"/>
              <w:start w:w="64" w:type="dxa"/>
              <w:end w:w="64" w:type="dxa"/>
            </w:tcMar>
          </w:tcPr>
          <w:p>
            <w:pPr>
              <w:pStyle w:val="TableText"/>
            </w:pPr>
            <w:r/>
            <w:r>
              <w:rPr>
                <w:b w:val="0"/>
              </w:rPr>
              <w:t>Safe pregnancy / no risk</w:t>
            </w:r>
          </w:p>
        </w:tc>
      </w:tr>
      <w:tr>
        <w:trPr>
          <w:cantSplit/>
        </w:trPr>
        <w:tc>
          <w:tcPr>
            <w:tcW w:type="dxa" w:w="3888"/>
            <w:vAlign w:val="center"/>
            <w:tcMar>
              <w:top w:w="54" w:type="dxa"/>
              <w:bottom w:w="54" w:type="dxa"/>
              <w:start w:w="64" w:type="dxa"/>
              <w:end w:w="64" w:type="dxa"/>
            </w:tcMar>
            <w:shd w:fill="EDF4FA"/>
          </w:tcPr>
          <w:p>
            <w:pPr>
              <w:pStyle w:val="TableText"/>
            </w:pPr>
            <w:r/>
            <w:r>
              <w:rPr>
                <w:b w:val="0"/>
              </w:rPr>
              <w:t>ASSESSMENT INCOMPLETE</w:t>
            </w:r>
          </w:p>
        </w:tc>
        <w:tc>
          <w:tcPr>
            <w:tcW w:type="dxa" w:w="6624"/>
            <w:vAlign w:val="center"/>
            <w:tcMar>
              <w:top w:w="54" w:type="dxa"/>
              <w:bottom w:w="54" w:type="dxa"/>
              <w:start w:w="64" w:type="dxa"/>
              <w:end w:w="64" w:type="dxa"/>
            </w:tcMar>
            <w:shd w:fill="EDF4FA"/>
          </w:tcPr>
          <w:p>
            <w:pPr>
              <w:pStyle w:val="TableText"/>
            </w:pPr>
            <w:r/>
            <w:r>
              <w:rPr>
                <w:b w:val="0"/>
              </w:rPr>
              <w:t>Unknown patient risk</w:t>
            </w:r>
          </w:p>
        </w:tc>
      </w:tr>
      <w:tr>
        <w:trPr>
          <w:cantSplit/>
        </w:trPr>
        <w:tc>
          <w:tcPr>
            <w:tcW w:type="dxa" w:w="3888"/>
            <w:vAlign w:val="center"/>
            <w:tcMar>
              <w:top w:w="54" w:type="dxa"/>
              <w:bottom w:w="54" w:type="dxa"/>
              <w:start w:w="64" w:type="dxa"/>
              <w:end w:w="64" w:type="dxa"/>
            </w:tcMar>
          </w:tcPr>
          <w:p>
            <w:pPr>
              <w:pStyle w:val="TableText"/>
            </w:pPr>
            <w:r/>
            <w:r>
              <w:rPr>
                <w:b w:val="0"/>
              </w:rPr>
              <w:t>Rule-based safety factor</w:t>
            </w:r>
          </w:p>
        </w:tc>
        <w:tc>
          <w:tcPr>
            <w:tcW w:type="dxa" w:w="6624"/>
            <w:vAlign w:val="center"/>
            <w:tcMar>
              <w:top w:w="54" w:type="dxa"/>
              <w:bottom w:w="54" w:type="dxa"/>
              <w:start w:w="64" w:type="dxa"/>
              <w:end w:w="64" w:type="dxa"/>
            </w:tcMar>
          </w:tcPr>
          <w:p>
            <w:pPr>
              <w:pStyle w:val="TableText"/>
            </w:pPr>
            <w:r/>
            <w:r>
              <w:rPr>
                <w:b w:val="0"/>
              </w:rPr>
              <w:t>Clinical diagnosis</w:t>
            </w:r>
          </w:p>
        </w:tc>
      </w:tr>
      <w:tr>
        <w:trPr>
          <w:cantSplit/>
        </w:trPr>
        <w:tc>
          <w:tcPr>
            <w:tcW w:type="dxa" w:w="3888"/>
            <w:vAlign w:val="center"/>
            <w:tcMar>
              <w:top w:w="54" w:type="dxa"/>
              <w:bottom w:w="54" w:type="dxa"/>
              <w:start w:w="64" w:type="dxa"/>
              <w:end w:w="64" w:type="dxa"/>
            </w:tcMar>
            <w:shd w:fill="EDF4FA"/>
          </w:tcPr>
          <w:p>
            <w:pPr>
              <w:pStyle w:val="TableText"/>
            </w:pPr>
            <w:r/>
            <w:r>
              <w:rPr>
                <w:b w:val="0"/>
              </w:rPr>
              <w:t>ML-only HIGH</w:t>
            </w:r>
          </w:p>
        </w:tc>
        <w:tc>
          <w:tcPr>
            <w:tcW w:type="dxa" w:w="6624"/>
            <w:vAlign w:val="center"/>
            <w:tcMar>
              <w:top w:w="54" w:type="dxa"/>
              <w:bottom w:w="54" w:type="dxa"/>
              <w:start w:w="64" w:type="dxa"/>
              <w:end w:w="64" w:type="dxa"/>
            </w:tcMar>
            <w:shd w:fill="EDF4FA"/>
          </w:tcPr>
          <w:p>
            <w:pPr>
              <w:pStyle w:val="TableText"/>
            </w:pPr>
            <w:r/>
            <w:r>
              <w:rPr>
                <w:b w:val="0"/>
              </w:rPr>
              <w:t>AI diagnosis</w:t>
            </w:r>
          </w:p>
        </w:tc>
      </w:tr>
      <w:tr>
        <w:trPr>
          <w:cantSplit/>
        </w:trPr>
        <w:tc>
          <w:tcPr>
            <w:tcW w:type="dxa" w:w="3888"/>
            <w:vAlign w:val="center"/>
            <w:tcMar>
              <w:top w:w="54" w:type="dxa"/>
              <w:bottom w:w="54" w:type="dxa"/>
              <w:start w:w="64" w:type="dxa"/>
              <w:end w:w="64" w:type="dxa"/>
            </w:tcMar>
          </w:tcPr>
          <w:p>
            <w:pPr>
              <w:pStyle w:val="TableText"/>
            </w:pPr>
            <w:r/>
            <w:r>
              <w:rPr>
                <w:b w:val="0"/>
              </w:rPr>
              <w:t>Urgent recommendation</w:t>
            </w:r>
          </w:p>
        </w:tc>
        <w:tc>
          <w:tcPr>
            <w:tcW w:type="dxa" w:w="6624"/>
            <w:vAlign w:val="center"/>
            <w:tcMar>
              <w:top w:w="54" w:type="dxa"/>
              <w:bottom w:w="54" w:type="dxa"/>
              <w:start w:w="64" w:type="dxa"/>
              <w:end w:w="64" w:type="dxa"/>
            </w:tcMar>
          </w:tcPr>
          <w:p>
            <w:pPr>
              <w:pStyle w:val="TableText"/>
            </w:pPr>
            <w:r/>
            <w:r>
              <w:rPr>
                <w:b w:val="0"/>
              </w:rPr>
              <w:t>Automated emergency diagnosis</w:t>
            </w:r>
          </w:p>
        </w:tc>
      </w:tr>
      <w:tr>
        <w:trPr>
          <w:cantSplit/>
        </w:trPr>
        <w:tc>
          <w:tcPr>
            <w:tcW w:type="dxa" w:w="3888"/>
            <w:vAlign w:val="center"/>
            <w:tcMar>
              <w:top w:w="54" w:type="dxa"/>
              <w:bottom w:w="54" w:type="dxa"/>
              <w:start w:w="64" w:type="dxa"/>
              <w:end w:w="64" w:type="dxa"/>
            </w:tcMar>
            <w:shd w:fill="EDF4FA"/>
          </w:tcPr>
          <w:p>
            <w:pPr>
              <w:pStyle w:val="TableText"/>
            </w:pPr>
            <w:r/>
            <w:r>
              <w:rPr>
                <w:b w:val="0"/>
              </w:rPr>
              <w:t>Interaction</w:t>
            </w:r>
          </w:p>
        </w:tc>
        <w:tc>
          <w:tcPr>
            <w:tcW w:type="dxa" w:w="6624"/>
            <w:vAlign w:val="center"/>
            <w:tcMar>
              <w:top w:w="54" w:type="dxa"/>
              <w:bottom w:w="54" w:type="dxa"/>
              <w:start w:w="64" w:type="dxa"/>
              <w:end w:w="64" w:type="dxa"/>
            </w:tcMar>
            <w:shd w:fill="EDF4FA"/>
          </w:tcPr>
          <w:p>
            <w:pPr>
              <w:pStyle w:val="TableText"/>
            </w:pPr>
            <w:r/>
            <w:r>
              <w:rPr>
                <w:b w:val="0"/>
              </w:rPr>
              <w:t>Combined causal syndrome</w:t>
            </w:r>
          </w:p>
        </w:tc>
      </w:tr>
      <w:tr>
        <w:trPr>
          <w:cantSplit/>
        </w:trPr>
        <w:tc>
          <w:tcPr>
            <w:tcW w:type="dxa" w:w="3888"/>
            <w:vAlign w:val="center"/>
            <w:tcMar>
              <w:top w:w="54" w:type="dxa"/>
              <w:bottom w:w="54" w:type="dxa"/>
              <w:start w:w="64" w:type="dxa"/>
              <w:end w:w="64" w:type="dxa"/>
            </w:tcMar>
          </w:tcPr>
          <w:p>
            <w:pPr>
              <w:pStyle w:val="TableText"/>
            </w:pPr>
            <w:r/>
            <w:r>
              <w:rPr>
                <w:b w:val="0"/>
              </w:rPr>
              <w:t>Risk Index Framework</w:t>
            </w:r>
          </w:p>
        </w:tc>
        <w:tc>
          <w:tcPr>
            <w:tcW w:type="dxa" w:w="6624"/>
            <w:vAlign w:val="center"/>
            <w:tcMar>
              <w:top w:w="54" w:type="dxa"/>
              <w:bottom w:w="54" w:type="dxa"/>
              <w:start w:w="64" w:type="dxa"/>
              <w:end w:w="64" w:type="dxa"/>
            </w:tcMar>
          </w:tcPr>
          <w:p>
            <w:pPr>
              <w:pStyle w:val="TableText"/>
            </w:pPr>
            <w:r/>
            <w:r>
              <w:rPr>
                <w:b w:val="0"/>
              </w:rPr>
              <w:t>Validated numerical risk score</w:t>
            </w:r>
          </w:p>
        </w:tc>
      </w:tr>
      <w:tr>
        <w:trPr>
          <w:cantSplit/>
        </w:trPr>
        <w:tc>
          <w:tcPr>
            <w:tcW w:type="dxa" w:w="3888"/>
            <w:vAlign w:val="center"/>
            <w:tcMar>
              <w:top w:w="54" w:type="dxa"/>
              <w:bottom w:w="54" w:type="dxa"/>
              <w:start w:w="64" w:type="dxa"/>
              <w:end w:w="64" w:type="dxa"/>
            </w:tcMar>
            <w:shd w:fill="EDF4FA"/>
          </w:tcPr>
          <w:p>
            <w:pPr>
              <w:pStyle w:val="TableText"/>
            </w:pPr>
            <w:r/>
            <w:r>
              <w:rPr>
                <w:b w:val="0"/>
              </w:rPr>
              <w:t>Referral recommended</w:t>
            </w:r>
          </w:p>
        </w:tc>
        <w:tc>
          <w:tcPr>
            <w:tcW w:type="dxa" w:w="6624"/>
            <w:vAlign w:val="center"/>
            <w:tcMar>
              <w:top w:w="54" w:type="dxa"/>
              <w:bottom w:w="54" w:type="dxa"/>
              <w:start w:w="64" w:type="dxa"/>
              <w:end w:w="64" w:type="dxa"/>
            </w:tcMar>
            <w:shd w:fill="EDF4FA"/>
          </w:tcPr>
          <w:p>
            <w:pPr>
              <w:pStyle w:val="TableText"/>
            </w:pPr>
            <w:r/>
            <w:r>
              <w:rPr>
                <w:b w:val="0"/>
              </w:rPr>
              <w:t>Patient is prohibited from lying-in delivery</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1 - Risk Framework Philosophy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30" w:line="240" w:lineRule="auto"/>
    </w:pPr>
    <w:rPr>
      <w:rFonts w:ascii="Arial" w:hAnsi="Arial"/>
      <w:b w:val="0"/>
      <w:color w:val="1F1F1F"/>
      <w:sz w:val="18"/>
    </w:rPr>
  </w:style>
  <w:style w:type="paragraph" w:customStyle="1" w:styleId="TableText">
    <w:name w:val="Table Text"/>
    <w:pPr>
      <w:spacing w:after="30" w:line="240" w:lineRule="auto"/>
    </w:pPr>
    <w:rPr>
      <w:rFonts w:ascii="Arial" w:hAnsi="Arial"/>
      <w:b w:val="0"/>
      <w:color w:val="1F1F1F"/>
      <w:sz w:val="15"/>
    </w:rPr>
  </w:style>
  <w:style w:type="paragraph" w:customStyle="1" w:styleId="TableHeader">
    <w:name w:val="Table Header"/>
    <w:pPr>
      <w:spacing w:after="30" w:line="240" w:lineRule="auto"/>
    </w:pPr>
    <w:rPr>
      <w:rFonts w:ascii="Arial" w:hAnsi="Arial"/>
      <w:b/>
      <w:color w:val="FFFFFF"/>
      <w:sz w:val="15"/>
    </w:rPr>
  </w:style>
  <w:style w:type="paragraph" w:customStyle="1" w:styleId="Reference">
    <w:name w:val="Reference"/>
    <w:pPr>
      <w:spacing w:after="30" w:line="240" w:lineRule="auto"/>
    </w:pPr>
    <w:rPr>
      <w:rFonts w:ascii="Arial" w:hAnsi="Arial"/>
      <w:b w:val="0"/>
      <w:color w:val="1F1F1F"/>
      <w:sz w:val="15"/>
    </w:rPr>
  </w:style>
  <w:style w:type="paragraph" w:customStyle="1" w:styleId="Code">
    <w:name w:val="Code"/>
    <w:pPr>
      <w:spacing w:after="30" w:line="240" w:lineRule="auto"/>
    </w:pPr>
    <w:rPr>
      <w:rFonts w:ascii="Consolas" w:hAnsi="Consolas"/>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teams/digital-health-and-innovation/smart-guidelines" TargetMode="External"/><Relationship Id="rId12" Type="http://schemas.openxmlformats.org/officeDocument/2006/relationships/hyperlink" Target="https://www.who.int/publications/i/item/9789240020306" TargetMode="External"/><Relationship Id="rId13" Type="http://schemas.openxmlformats.org/officeDocument/2006/relationships/hyperlink" Target="https://www.who.int/publications/m/item/who-digital-accelerator-kits" TargetMode="External"/><Relationship Id="rId14" Type="http://schemas.openxmlformats.org/officeDocument/2006/relationships/hyperlink" Target="https://smart.who.int/dak-smbp/decision-logic.html" TargetMode="External"/><Relationship Id="rId15" Type="http://schemas.openxmlformats.org/officeDocument/2006/relationships/hyperlink" Target="https://www.who.int/publications/i/item/9789241550505" TargetMode="External"/><Relationship Id="rId16" Type="http://schemas.openxmlformats.org/officeDocument/2006/relationships/hyperlink" Target="https://www.who.int/publications/i/item/9789240029200" TargetMode="External"/><Relationship Id="rId17" Type="http://schemas.openxmlformats.org/officeDocument/2006/relationships/hyperlink" Target="https://www.nice.org.uk/corporate/ecd7" TargetMode="External"/><Relationship Id="rId18" Type="http://schemas.openxmlformats.org/officeDocument/2006/relationships/hyperlink" Target="https://www.nice.org.uk/corporate/ecd7/chapter/section-b-classification-of-digital-health-technologies" TargetMode="External"/><Relationship Id="rId19" Type="http://schemas.openxmlformats.org/officeDocument/2006/relationships/hyperlink" Target="https://www.nice.org.uk/corporate/ecd7/chapter/section-c-evidence-standards-tables" TargetMode="External"/><Relationship Id="rId20" Type="http://schemas.openxmlformats.org/officeDocument/2006/relationships/hyperlink" Target="https://www.fda.gov/regulatory-information/search-fda-guidance-documents/clinical-decision-support-software" TargetMode="External"/><Relationship Id="rId21" Type="http://schemas.openxmlformats.org/officeDocument/2006/relationships/hyperlink" Target="https://www.imdrf.org/documents/software-medical-device-samd-clinical-evaluation" TargetMode="External"/><Relationship Id="rId22" Type="http://schemas.openxmlformats.org/officeDocument/2006/relationships/hyperlink" Target="https://www.ahrq.gov/" TargetMode="External"/><Relationship Id="rId23" Type="http://schemas.openxmlformats.org/officeDocument/2006/relationships/hyperlink" Target="https://elibrary.judiciary.gov.ph/thebookshelf/showdocs/10/52132" TargetMode="External"/><Relationship Id="rId24" Type="http://schemas.openxmlformats.org/officeDocument/2006/relationships/hyperlink" Target="https://www.philhealth.gov.ph/news/2016/pregnancy_benefits.html" TargetMode="External"/><Relationship Id="rId25" Type="http://schemas.openxmlformats.org/officeDocument/2006/relationships/hyperlink" Target="https://privacy.gov.ph/the-right-to-be-inform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1 - Risk Framework Philosophy</dc:title>
  <dc:subject>Foundational philosophy of the maternity CDSS Risk Index Framework</dc:subject>
  <dc:creator>Capstone Research Team</dc:creator>
  <cp:keywords>CDSS, risk framework, hybrid decision support, maternity, Random Forest, clinical safety</cp:keywords>
  <dc:description>generated by python-docx</dc:description>
  <cp:lastModifiedBy/>
  <cp:revision>1</cp:revision>
  <dcterms:created xsi:type="dcterms:W3CDTF">2013-12-23T23:15:00Z</dcterms:created>
  <dcterms:modified xsi:type="dcterms:W3CDTF">2013-12-23T23:15:00Z</dcterms:modified>
  <cp:category/>
</cp:coreProperties>
</file>