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AECai</w:t>
      </w:r>
    </w:p>
    <w:p>
      <w:pPr>
        <w:spacing w:after="400"/>
        <w:jc w:val="center"/>
      </w:pPr>
      <w:r>
        <w:rPr>
          <w:rFonts w:ascii="Arial" w:cs="Arial" w:eastAsia="Arial" w:hAnsi="Arial"/>
          <w:color w:val="2E75B6"/>
          <w:sz w:val="36"/>
          <w:szCs w:val="36"/>
        </w:rPr>
        <w:t xml:space="preserve">Regional Utility Outreach Strategy</w:t>
      </w:r>
    </w:p>
    <w:p>
      <w:pPr>
        <w:spacing w:after="100"/>
        <w:jc w:val="center"/>
      </w:pPr>
      <w:r>
        <w:rPr>
          <w:rFonts w:ascii="Arial" w:cs="Arial" w:eastAsia="Arial" w:hAnsi="Arial"/>
          <w:color w:val="555555"/>
          <w:sz w:val="28"/>
          <w:szCs w:val="28"/>
        </w:rPr>
        <w:t xml:space="preserve">SE USA &amp; Colorado</w:t>
      </w:r>
    </w:p>
    <w:p>
      <w:pPr>
        <w:spacing w:after="100"/>
        <w:jc w:val="center"/>
      </w:pPr>
      <w:r>
        <w:rPr>
          <w:rFonts w:ascii="Arial" w:cs="Arial" w:eastAsia="Arial" w:hAnsi="Arial"/>
          <w:color w:val="777777"/>
          <w:sz w:val="22"/>
          <w:szCs w:val="22"/>
        </w:rPr>
        <w:t xml:space="preserve">AI Consulting → Document Intelligence → Automation</w:t>
      </w:r>
    </w:p>
    <w:p>
      <w:pPr>
        <w:spacing w:before="800" w:after="100"/>
        <w:jc w:val="center"/>
      </w:pPr>
      <w:r>
        <w:rPr>
          <w:rFonts w:ascii="Arial" w:cs="Arial" w:eastAsia="Arial" w:hAnsi="Arial"/>
          <w:color w:val="999999"/>
          <w:sz w:val="22"/>
          <w:szCs w:val="22"/>
        </w:rPr>
        <w:t xml:space="preserve">Prepared: February 2025</w:t>
      </w:r>
    </w:p>
    <w:p>
      <w:pPr>
        <w:jc w:val="center"/>
      </w:pPr>
      <w:r>
        <w:rPr>
          <w:rFonts w:ascii="Arial" w:cs="Arial" w:eastAsia="Arial" w:hAnsi="Arial"/>
          <w:b/>
          <w:bCs/>
          <w:color w:val="CC00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Executive Summary</w:t>
      </w:r>
    </w:p>
    <w:p>
      <w:pPr>
        <w:spacing w:after="200"/>
      </w:pPr>
      <w:r>
        <w:rPr>
          <w:rFonts w:ascii="Arial" w:cs="Arial" w:eastAsia="Arial" w:hAnsi="Arial"/>
          <w:sz w:val="22"/>
          <w:szCs w:val="22"/>
        </w:rPr>
        <w:t xml:space="preserve">This document outlines AECai’s go-to-market strategy for regional electric utilities in the Southeast United States and Colorado. The entry point is AI consulting (strategic assessment), which establishes trust, maps document pain points, and creates a natural pipeline into Vanta document intelligence deployment and full automation implementation.</w:t>
      </w:r>
    </w:p>
    <w:p>
      <w:pPr>
        <w:pStyle w:val="Heading2"/>
        <w:spacing w:before="240" w:after="200"/>
      </w:pPr>
      <w:r>
        <w:rPr>
          <w:rFonts w:ascii="Arial" w:cs="Arial" w:eastAsia="Arial" w:hAnsi="Arial"/>
        </w:rPr>
        <w:t xml:space="preserve">Why Utilities?</w:t>
      </w:r>
    </w:p>
    <w:p>
      <w:pPr>
        <w:pStyle w:val="ListParagraph"/>
        <w:numPr>
          <w:ilvl w:val="0"/>
          <w:numId w:val="2"/>
        </w:numPr>
        <w:spacing w:after="100"/>
      </w:pPr>
      <w:r>
        <w:rPr>
          <w:rFonts w:ascii="Arial" w:cs="Arial" w:eastAsia="Arial" w:hAnsi="Arial"/>
          <w:b/>
          <w:bCs/>
          <w:sz w:val="22"/>
          <w:szCs w:val="22"/>
        </w:rPr>
        <w:t xml:space="preserve">Massive engineering document burden: </w:t>
      </w:r>
      <w:r>
        <w:rPr>
          <w:rFonts w:ascii="Arial" w:cs="Arial" w:eastAsia="Arial" w:hAnsi="Arial"/>
          <w:sz w:val="22"/>
          <w:szCs w:val="22"/>
        </w:rPr>
        <w:t xml:space="preserve">Transmission line geotech reports, substation design specs, environmental compliance filings, FERC/NERC regulatory submissions, dam safety inspections, nuclear plant documentation. A single transmission project can generate 10,000+ pages of engineering documents.</w:t>
      </w:r>
    </w:p>
    <w:p>
      <w:pPr>
        <w:pStyle w:val="ListParagraph"/>
        <w:numPr>
          <w:ilvl w:val="0"/>
          <w:numId w:val="2"/>
        </w:numPr>
        <w:spacing w:after="100"/>
      </w:pPr>
      <w:r>
        <w:rPr>
          <w:rFonts w:ascii="Arial" w:cs="Arial" w:eastAsia="Arial" w:hAnsi="Arial"/>
          <w:b/>
          <w:bCs/>
          <w:sz w:val="22"/>
          <w:szCs w:val="22"/>
        </w:rPr>
        <w:t xml:space="preserve">Security requirements match our architecture: </w:t>
      </w:r>
      <w:r>
        <w:rPr>
          <w:rFonts w:ascii="Arial" w:cs="Arial" w:eastAsia="Arial" w:hAnsi="Arial"/>
          <w:sz w:val="22"/>
          <w:szCs w:val="22"/>
        </w:rPr>
        <w:t xml:space="preserve">Utilities are critical infrastructure (NERC CIP compliance). They cannot and will not send grid infrastructure documents to cloud APIs. AECai’s air-gapped, local-first architecture is not just preferred—it’s the only viable option.</w:t>
      </w:r>
    </w:p>
    <w:p>
      <w:pPr>
        <w:pStyle w:val="ListParagraph"/>
        <w:numPr>
          <w:ilvl w:val="0"/>
          <w:numId w:val="2"/>
        </w:numPr>
        <w:spacing w:after="100"/>
      </w:pPr>
      <w:r>
        <w:rPr>
          <w:rFonts w:ascii="Arial" w:cs="Arial" w:eastAsia="Arial" w:hAnsi="Arial"/>
          <w:b/>
          <w:bCs/>
          <w:sz w:val="22"/>
          <w:szCs w:val="22"/>
        </w:rPr>
        <w:t xml:space="preserve">Workforce knowledge crisis: </w:t>
      </w:r>
      <w:r>
        <w:rPr>
          <w:rFonts w:ascii="Arial" w:cs="Arial" w:eastAsia="Arial" w:hAnsi="Arial"/>
          <w:sz w:val="22"/>
          <w:szCs w:val="22"/>
        </w:rPr>
        <w:t xml:space="preserve">40-50% of utility engineering workforce is retirement-eligible within the next 5-10 years. Institutional knowledge trapped in decades of PDF reports is walking out the door. Utilities are desperate for solutions.</w:t>
      </w:r>
    </w:p>
    <w:p>
      <w:pPr>
        <w:pStyle w:val="ListParagraph"/>
        <w:numPr>
          <w:ilvl w:val="0"/>
          <w:numId w:val="2"/>
        </w:numPr>
        <w:spacing w:after="100"/>
      </w:pPr>
      <w:r>
        <w:rPr>
          <w:rFonts w:ascii="Arial" w:cs="Arial" w:eastAsia="Arial" w:hAnsi="Arial"/>
          <w:b/>
          <w:bCs/>
          <w:sz w:val="22"/>
          <w:szCs w:val="22"/>
        </w:rPr>
        <w:t xml:space="preserve">Budget exists: </w:t>
      </w:r>
      <w:r>
        <w:rPr>
          <w:rFonts w:ascii="Arial" w:cs="Arial" w:eastAsia="Arial" w:hAnsi="Arial"/>
          <w:sz w:val="22"/>
          <w:szCs w:val="22"/>
        </w:rPr>
        <w:t xml:space="preserve">Major utilities are investing billions in grid modernization and digital transformation. AI/digital budgets are allocated and growing. These are not cold-start budget conversations.</w:t>
      </w:r>
    </w:p>
    <w:p>
      <w:pPr>
        <w:pStyle w:val="ListParagraph"/>
        <w:numPr>
          <w:ilvl w:val="0"/>
          <w:numId w:val="2"/>
        </w:numPr>
        <w:spacing w:after="200"/>
      </w:pPr>
      <w:r>
        <w:rPr>
          <w:rFonts w:ascii="Arial" w:cs="Arial" w:eastAsia="Arial" w:hAnsi="Arial"/>
          <w:b/>
          <w:bCs/>
          <w:sz w:val="22"/>
          <w:szCs w:val="22"/>
        </w:rPr>
        <w:t xml:space="preserve">Two-sided network effect: </w:t>
      </w:r>
      <w:r>
        <w:rPr>
          <w:rFonts w:ascii="Arial" w:cs="Arial" w:eastAsia="Arial" w:hAnsi="Arial"/>
          <w:sz w:val="22"/>
          <w:szCs w:val="22"/>
        </w:rPr>
        <w:t xml:space="preserve">Utilities hire the same ENR Top 500 engineering firms you’re already targeting. Landing a utility creates pull-through demand from their engineering consultants, and vice versa.</w:t>
      </w:r>
    </w:p>
    <w:p>
      <w:pPr>
        <w:pStyle w:val="Heading2"/>
        <w:spacing w:before="240" w:after="200"/>
      </w:pPr>
      <w:r>
        <w:rPr>
          <w:rFonts w:ascii="Arial" w:cs="Arial" w:eastAsia="Arial" w:hAnsi="Arial"/>
        </w:rPr>
        <w:t xml:space="preserve">The Consulting Wedge</w:t>
      </w:r>
    </w:p>
    <w:p>
      <w:pPr>
        <w:spacing w:after="200"/>
      </w:pPr>
      <w:r>
        <w:rPr>
          <w:rFonts w:ascii="Arial" w:cs="Arial" w:eastAsia="Arial" w:hAnsi="Arial"/>
          <w:sz w:val="22"/>
          <w:szCs w:val="22"/>
        </w:rPr>
        <w:t xml:space="preserve">AI consulting is the right entry point for utilities because it de-risks the conversation for both sides. You’re not asking them to deploy software on Day 1—you’re offering to help them understand where AI creates real value in their engineering document workflows. The assessment naturally reveals the exact pain points that Vanta solves, creating an organic pipeline from consulting engagement to product deployment.</w:t>
      </w:r>
    </w:p>
    <w:p>
      <w:pPr>
        <w:spacing w:after="200"/>
      </w:pPr>
      <w:r>
        <w:rPr>
          <w:rFonts w:ascii="Arial" w:cs="Arial" w:eastAsia="Arial" w:hAnsi="Arial"/>
          <w:sz w:val="22"/>
          <w:szCs w:val="22"/>
        </w:rPr>
        <w:t xml:space="preserve">Engagement model: $15K–$50K strategic assessment (2–4 weeks) → $5K–$15K/month Vanta deployment → Enterprise automation contract ($100K–$250K annually).</w:t>
      </w:r>
    </w:p>
    <w:p>
      <w:r>
        <w:br w:type="page"/>
      </w:r>
    </w:p>
    <w:p>
      <w:pPr>
        <w:pStyle w:val="Heading1"/>
        <w:spacing w:before="360" w:after="200"/>
      </w:pPr>
      <w:r>
        <w:rPr>
          <w:rFonts w:ascii="Arial" w:cs="Arial" w:eastAsia="Arial" w:hAnsi="Arial"/>
        </w:rPr>
        <w:t xml:space="preserve">2. Target Market Map</w:t>
      </w:r>
    </w:p>
    <w:p>
      <w:pPr>
        <w:pStyle w:val="Heading2"/>
        <w:spacing w:before="240" w:after="200"/>
      </w:pPr>
      <w:r>
        <w:rPr>
          <w:rFonts w:ascii="Arial" w:cs="Arial" w:eastAsia="Arial" w:hAnsi="Arial"/>
        </w:rPr>
        <w:t xml:space="preserve">SE USA Priority Targets</w:t>
      </w:r>
    </w:p>
    <w:p>
      <w:pPr>
        <w:spacing w:after="200"/>
      </w:pPr>
      <w:r>
        <w:rPr>
          <w:rFonts w:ascii="Arial" w:cs="Arial" w:eastAsia="Arial" w:hAnsi="Arial"/>
          <w:sz w:val="22"/>
          <w:szCs w:val="22"/>
        </w:rPr>
        <w:t xml:space="preserve">The Southeast has the highest concentration of large investor-owned utilities in the country, with massive infrastructure investment cycles driven by grid modernization, renewable energy transition, coal ash remediation, and hurricane resilience programs. These utilities generate enormous volumes of engineering documents and face acute workforce knowledge-loss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Utility</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Opportunity</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Southern Company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IOU (Holding)</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Largest SE utility. $10B+/yr capex. Multiple subsidiaries = multi-deal potential. Massive geotech for transmission/generation.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Duke Energy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US utility. $73B capex through 2032. Coal ash remediation = massive geotech/environmental doc volume.</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NextEra / FPL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World’s largest renewables developer. Constant solar/storage build = permitting and geotech doc volume.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Dominion Energy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$10B offshore wind project (CVOW). Enormous engineering document requirements.</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TVA</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Federal</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Federal utility serving 7 states. Nuclear + grid mod. Longer procurement cycle but massive contracts.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LA/MS/AR/TX. Nuclear fleet + hurricane resilience = major capex and regulatory doc burden.</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TECO / Tampa Electric</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Mid-size FL utility. Faster decision-making. Good pilot candidate.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Santee Cooper / JEA / OUC / Oglethorpe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Municipal/cooperative utilities. More accessible decision-makers. Faster pilot cycles. Cascade potential to member utilities.</w:t>
            </w:r>
          </w:p>
        </w:tc>
      </w:tr>
    </w:tbl>
    <w:p>
      <w:pPr>
        <w:spacing w:after="300"/>
      </w:pPr>
    </w:p>
    <w:p>
      <w:pPr>
        <w:pStyle w:val="Heading2"/>
        <w:spacing w:before="240" w:after="200"/>
      </w:pPr>
      <w:r>
        <w:rPr>
          <w:rFonts w:ascii="Arial" w:cs="Arial" w:eastAsia="Arial" w:hAnsi="Arial"/>
        </w:rPr>
        <w:t xml:space="preserve">Colorado Priority Targets</w:t>
      </w:r>
    </w:p>
    <w:p>
      <w:pPr>
        <w:spacing w:after="200"/>
      </w:pPr>
      <w:r>
        <w:rPr>
          <w:rFonts w:ascii="Arial" w:cs="Arial" w:eastAsia="Arial" w:hAnsi="Arial"/>
          <w:sz w:val="22"/>
          <w:szCs w:val="22"/>
        </w:rPr>
        <w:t xml:space="preserve">Colorado’s utility market is defined by aggressive clean energy transition targets, particularly Xcel Energy’s commitment to 80% carbon reduction by 2030. This drives massive renewable energy development, transmission expansion, and regulatory filing volume—all of which generate substantial engineering document burdens.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Utility</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Opportunity</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Xcel Energy (CO ops)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Dominant CO utility. $25B+ capital plan. CO PUC proceedings = heavy regulatory doc filings.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Tri-State G&amp;T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Cooperative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Serves 42 member utilities across 4 states. Landing Tri-State = access to member cooperatives.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Colorado Springs Utilities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Municipal</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4-service utility. Post-wildfire infrastructure investment. Municipal = accessible.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Platte River Power Authority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Municipal JPA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clean energy by 2030 goal. Smaller = faster decision cycles.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Tier 3</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Black Hills / Holy Cross / CORE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sz w:val="20"/>
                <w:szCs w:val="20"/>
              </w:rPr>
              <w:t xml:space="preserve">Smaller utilities with direct access to decision-makers. Good early wins.</w:t>
            </w:r>
          </w:p>
        </w:tc>
      </w:tr>
    </w:tbl>
    <w:p>
      <w:r>
        <w:br w:type="page"/>
      </w:r>
    </w:p>
    <w:p>
      <w:pPr>
        <w:pStyle w:val="Heading1"/>
        <w:spacing w:before="360" w:after="200"/>
      </w:pPr>
      <w:r>
        <w:rPr>
          <w:rFonts w:ascii="Arial" w:cs="Arial" w:eastAsia="Arial" w:hAnsi="Arial"/>
        </w:rPr>
        <w:t xml:space="preserve">3. Contact Strategy</w:t>
      </w:r>
    </w:p>
    <w:p>
      <w:pPr>
        <w:pStyle w:val="Heading2"/>
        <w:spacing w:before="240" w:after="200"/>
      </w:pPr>
      <w:r>
        <w:rPr>
          <w:rFonts w:ascii="Arial" w:cs="Arial" w:eastAsia="Arial" w:hAnsi="Arial"/>
        </w:rPr>
        <w:t xml:space="preserve">Target Personas</w:t>
      </w:r>
    </w:p>
    <w:p>
      <w:pPr>
        <w:spacing w:after="300"/>
      </w:pPr>
      <w:r>
        <w:rPr>
          <w:rFonts w:ascii="Arial" w:cs="Arial" w:eastAsia="Arial" w:hAnsi="Arial"/>
          <w:sz w:val="22"/>
          <w:szCs w:val="22"/>
        </w:rPr>
        <w:t xml:space="preserve">You’re targeting two complementary personas at each utility. The VP Engineering owns the pain (document burden, knowledge loss, project delays). The CIO/CDO owns the solution budget (digital transformation, AI initiatives). Ideally, you reach both and let them converge on AECai internally.</w:t>
      </w:r>
    </w:p>
    <w:p>
      <w:pPr>
        <w:spacing w:after="200"/>
      </w:pPr>
      <w:r>
        <w:rPr>
          <w:rFonts w:ascii="Arial" w:cs="Arial" w:eastAsia="Arial" w:hAnsi="Arial"/>
          <w:b/>
          <w:bCs/>
          <w:color w:val="1B3A5C"/>
          <w:sz w:val="24"/>
          <w:szCs w:val="24"/>
        </w:rPr>
        <w:t xml:space="preserve">VP Engineering / VP Capital Projects / Chief Engineering Officer</w:t>
      </w:r>
    </w:p>
    <w:p>
      <w:pPr>
        <w:spacing w:after="200"/>
      </w:pPr>
      <w:r>
        <w:rPr>
          <w:rFonts w:ascii="Arial" w:cs="Arial" w:eastAsia="Arial" w:hAnsi="Arial"/>
          <w:sz w:val="22"/>
          <w:szCs w:val="22"/>
        </w:rPr>
        <w:t xml:space="preserve">This person lives the document problem daily. They know that a senior engineer retiring takes 30 years of project knowledge with them. They know that pulling standards references from a 500-page DOT spec takes hours. They feel the pain of re-digitizing information that was digital before it became a PDF. Your 13 years of geotechnical experience makes you a peer, not a vendor. Lead with the problem, not the technology.</w:t>
      </w:r>
    </w:p>
    <w:p>
      <w:pPr>
        <w:spacing w:after="200"/>
      </w:pPr>
      <w:r>
        <w:rPr>
          <w:rFonts w:ascii="Arial" w:cs="Arial" w:eastAsia="Arial" w:hAnsi="Arial"/>
          <w:b/>
          <w:bCs/>
          <w:color w:val="1B3A5C"/>
          <w:sz w:val="24"/>
          <w:szCs w:val="24"/>
        </w:rPr>
        <w:t xml:space="preserve">CIO / CDO / VP IT / Director Digital Transformation</w:t>
      </w:r>
    </w:p>
    <w:p>
      <w:pPr>
        <w:spacing w:after="200"/>
      </w:pPr>
      <w:r>
        <w:rPr>
          <w:rFonts w:ascii="Arial" w:cs="Arial" w:eastAsia="Arial" w:hAnsi="Arial"/>
          <w:sz w:val="22"/>
          <w:szCs w:val="22"/>
        </w:rPr>
        <w:t xml:space="preserve">This person has budget for digital transformation but has been burned by AI vendors who require cloud data exposure—a non-starter for NERC CIP-regulated infrastructure. They need solutions that IT can actually approve. Lead with the air-gapped architecture and consulting-first approach that reduces pilot risk.</w:t>
      </w:r>
    </w:p>
    <w:p>
      <w:pPr>
        <w:pStyle w:val="Heading2"/>
        <w:spacing w:before="240" w:after="200"/>
      </w:pPr>
      <w:r>
        <w:rPr>
          <w:rFonts w:ascii="Arial" w:cs="Arial" w:eastAsia="Arial" w:hAnsi="Arial"/>
        </w:rPr>
        <w:t xml:space="preserve">LinkedIn Research Protocol</w:t>
      </w:r>
    </w:p>
    <w:p>
      <w:pPr>
        <w:spacing w:after="200"/>
      </w:pPr>
      <w:r>
        <w:rPr>
          <w:rFonts w:ascii="Arial" w:cs="Arial" w:eastAsia="Arial" w:hAnsi="Arial"/>
          <w:sz w:val="22"/>
          <w:szCs w:val="22"/>
        </w:rPr>
        <w:t xml:space="preserve">Before any outreach, spend 10–15 minutes per contact researching on LinkedIn. This is not optional—personalized outreach converts at 3–5x the rate of template messages. Here’s what to look for:</w:t>
      </w:r>
    </w:p>
    <w:p>
      <w:pPr>
        <w:pStyle w:val="ListParagraph"/>
        <w:numPr>
          <w:ilvl w:val="0"/>
          <w:numId w:val="3"/>
        </w:numPr>
        <w:spacing w:after="100"/>
      </w:pPr>
      <w:r>
        <w:rPr>
          <w:rFonts w:ascii="Arial" w:cs="Arial" w:eastAsia="Arial" w:hAnsi="Arial"/>
          <w:b/>
          <w:bCs/>
          <w:sz w:val="22"/>
          <w:szCs w:val="22"/>
        </w:rPr>
        <w:t xml:space="preserve">Recent activity: </w:t>
      </w:r>
      <w:r>
        <w:rPr>
          <w:rFonts w:ascii="Arial" w:cs="Arial" w:eastAsia="Arial" w:hAnsi="Arial"/>
          <w:sz w:val="22"/>
          <w:szCs w:val="22"/>
        </w:rPr>
        <w:t xml:space="preserve">Posts they’ve written or engaged with. Conference talks. Articles shared. This tells you what they care about right now.</w:t>
      </w:r>
    </w:p>
    <w:p>
      <w:pPr>
        <w:pStyle w:val="ListParagraph"/>
        <w:numPr>
          <w:ilvl w:val="0"/>
          <w:numId w:val="3"/>
        </w:numPr>
        <w:spacing w:after="100"/>
      </w:pPr>
      <w:r>
        <w:rPr>
          <w:rFonts w:ascii="Arial" w:cs="Arial" w:eastAsia="Arial" w:hAnsi="Arial"/>
          <w:b/>
          <w:bCs/>
          <w:sz w:val="22"/>
          <w:szCs w:val="22"/>
        </w:rPr>
        <w:t xml:space="preserve">Career trajectory: </w:t>
      </w:r>
      <w:r>
        <w:rPr>
          <w:rFonts w:ascii="Arial" w:cs="Arial" w:eastAsia="Arial" w:hAnsi="Arial"/>
          <w:sz w:val="22"/>
          <w:szCs w:val="22"/>
        </w:rPr>
        <w:t xml:space="preserve">How long at current utility? Previous roles? If they came from an engineering firm, that’s your bridge. If they’re new to the role, they’re likely looking for quick wins.</w:t>
      </w:r>
    </w:p>
    <w:p>
      <w:pPr>
        <w:pStyle w:val="ListParagraph"/>
        <w:numPr>
          <w:ilvl w:val="0"/>
          <w:numId w:val="3"/>
        </w:numPr>
        <w:spacing w:after="100"/>
      </w:pPr>
      <w:r>
        <w:rPr>
          <w:rFonts w:ascii="Arial" w:cs="Arial" w:eastAsia="Arial" w:hAnsi="Arial"/>
          <w:b/>
          <w:bCs/>
          <w:sz w:val="22"/>
          <w:szCs w:val="22"/>
        </w:rPr>
        <w:t xml:space="preserve">Shared connections: </w:t>
      </w:r>
      <w:r>
        <w:rPr>
          <w:rFonts w:ascii="Arial" w:cs="Arial" w:eastAsia="Arial" w:hAnsi="Arial"/>
          <w:sz w:val="22"/>
          <w:szCs w:val="22"/>
        </w:rPr>
        <w:t xml:space="preserve">Mutual contacts—especially from engineering firms, LaBella, or industry associations—are warm intro opportunities.</w:t>
      </w:r>
    </w:p>
    <w:p>
      <w:pPr>
        <w:pStyle w:val="ListParagraph"/>
        <w:numPr>
          <w:ilvl w:val="0"/>
          <w:numId w:val="3"/>
        </w:numPr>
        <w:spacing w:after="100"/>
      </w:pPr>
      <w:r>
        <w:rPr>
          <w:rFonts w:ascii="Arial" w:cs="Arial" w:eastAsia="Arial" w:hAnsi="Arial"/>
          <w:b/>
          <w:bCs/>
          <w:sz w:val="22"/>
          <w:szCs w:val="22"/>
        </w:rPr>
        <w:t xml:space="preserve">Education and credentials: </w:t>
      </w:r>
      <w:r>
        <w:rPr>
          <w:rFonts w:ascii="Arial" w:cs="Arial" w:eastAsia="Arial" w:hAnsi="Arial"/>
          <w:sz w:val="22"/>
          <w:szCs w:val="22"/>
        </w:rPr>
        <w:t xml:space="preserve">PE license? Engineering degree? MBA? This calibrates how technical your messaging should be.</w:t>
      </w:r>
    </w:p>
    <w:p>
      <w:pPr>
        <w:pStyle w:val="ListParagraph"/>
        <w:numPr>
          <w:ilvl w:val="0"/>
          <w:numId w:val="3"/>
        </w:numPr>
        <w:spacing w:after="200"/>
      </w:pPr>
      <w:r>
        <w:rPr>
          <w:rFonts w:ascii="Arial" w:cs="Arial" w:eastAsia="Arial" w:hAnsi="Arial"/>
          <w:b/>
          <w:bCs/>
          <w:sz w:val="22"/>
          <w:szCs w:val="22"/>
        </w:rPr>
        <w:t xml:space="preserve">Industry involvement: </w:t>
      </w:r>
      <w:r>
        <w:rPr>
          <w:rFonts w:ascii="Arial" w:cs="Arial" w:eastAsia="Arial" w:hAnsi="Arial"/>
          <w:sz w:val="22"/>
          <w:szCs w:val="22"/>
        </w:rPr>
        <w:t xml:space="preserve">DistribuTECH, IEEE PES, EUCI, EEI, APPA, NRECA conferences and committees. These are visibility and credibility channels.</w:t>
      </w:r>
    </w:p>
    <w:p>
      <w:pPr>
        <w:pStyle w:val="Heading2"/>
        <w:spacing w:before="240" w:after="200"/>
      </w:pPr>
      <w:r>
        <w:rPr>
          <w:rFonts w:ascii="Arial" w:cs="Arial" w:eastAsia="Arial" w:hAnsi="Arial"/>
        </w:rPr>
        <w:t xml:space="preserve">7-Touch Outreach Sequence</w:t>
      </w:r>
    </w:p>
    <w:p>
      <w:pPr>
        <w:spacing w:after="300"/>
      </w:pPr>
      <w:r>
        <w:rPr>
          <w:rFonts w:ascii="Arial" w:cs="Arial" w:eastAsia="Arial" w:hAnsi="Arial"/>
          <w:sz w:val="22"/>
          <w:szCs w:val="22"/>
        </w:rPr>
        <w:t xml:space="preserve">This sequence follows a give-give-give-ask model. You establish credibility through value before requesting anything. Each touch is personalized based on LinkedIn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400"/>
        <w:gridCol w:w="6160"/>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6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&amp; Messaging</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1</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Day 0</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LinkedIn</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RESEARCH: Review profile thoroughly. Note shared connections, recent posts, conference activity, career history. Identify 2–3 personalization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 Send connection request with personalized note. NOT a pitch. Example: “Hi [Name], I noticed your work on [specific project/initiative]. As a geotechnical engineer who’s spent 13 years in the AEC space, I’m always interested in connecting with folks tackling infrastructure challenges. Would love to connect.”</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Day 3–5</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LI Message / Email</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VALUE DROP: Share a relevant insight. No ask. Example: “I’ve been looking at how utilities handle engineering document workflows—the volume of geotech reports, design specs, and regulatory filings that end up as PDFs that have to be manually re-processed. We estimated it costs large engineering organizations $2M+/year in rework. Thought you might find it interesting given [their specific context].”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7–10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ASK: Reference the value drop. Propose a 20-minute call to discuss an AI readiness assessment for their engineering documents. Free, no commitment. Position as consulting, not software. “I help utilities understand where AI creates real value in engineering document workflows—and where it doesn’t. Would 20 minutes be worth it to explore?”</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Day 14</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FOLLOW-UP 1: Brief follow-up with new value. Add an industry stat, reference a relevant regulatory change, or mention their utility in the news. Keep it under 3 sentences.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 + 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FOLLOW-UP 2: Final direct outreach. Respectful close. “I know timing is everything. If AI readiness for your engineering documents isn’t a priority right now, no worries at all. But if it becomes one, I’d welcome the conversation.” Leave the door open.</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7</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Monthly</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LinkedIn</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NURTURE: Engage with their content. Share relevant industry posts. Stay visible in their feed. Re-approach with a fresh angle in 60–90 days. Long game.</w:t>
            </w:r>
          </w:p>
        </w:tc>
      </w:tr>
    </w:tbl>
    <w:p>
      <w:r>
        <w:br w:type="page"/>
      </w:r>
    </w:p>
    <w:p>
      <w:pPr>
        <w:pStyle w:val="Heading1"/>
        <w:spacing w:before="360" w:after="200"/>
      </w:pPr>
      <w:r>
        <w:rPr>
          <w:rFonts w:ascii="Arial" w:cs="Arial" w:eastAsia="Arial" w:hAnsi="Arial"/>
        </w:rPr>
        <w:t xml:space="preserve">4. Messaging Frameworks</w:t>
      </w:r>
    </w:p>
    <w:p>
      <w:pPr>
        <w:pStyle w:val="Heading2"/>
        <w:spacing w:before="240" w:after="200"/>
      </w:pPr>
      <w:r>
        <w:rPr>
          <w:rFonts w:ascii="Arial" w:cs="Arial" w:eastAsia="Arial" w:hAnsi="Arial"/>
        </w:rPr>
        <w:t xml:space="preserve">For VP Engineering / Capital Projects</w:t>
      </w:r>
    </w:p>
    <w:p>
      <w:pPr>
        <w:spacing w:after="200"/>
      </w:pPr>
      <w:r>
        <w:rPr>
          <w:rFonts w:ascii="Arial" w:cs="Arial" w:eastAsia="Arial" w:hAnsi="Arial"/>
          <w:b/>
          <w:bCs/>
          <w:sz w:val="22"/>
          <w:szCs w:val="22"/>
        </w:rPr>
        <w:t xml:space="preserve">Lead with pain, not technology:</w:t>
      </w:r>
    </w:p>
    <w:p>
      <w:pPr>
        <w:spacing w:after="300"/>
      </w:pPr>
      <w:r>
        <w:rPr>
          <w:rFonts w:ascii="Arial" w:cs="Arial" w:eastAsia="Arial" w:hAnsi="Arial"/>
          <w:sz w:val="22"/>
          <w:szCs w:val="22"/>
        </w:rPr>
        <w:t xml:space="preserve">“Every time a senior engineer retires, 25+ years of project knowledge walks out the door—buried in PDFs that nobody can efficiently search or cross-reference. I spent 13 years as a geotechnical engineer inside firms like yours, and I built AECai specifically to solve this. We help utilities extract structured intelligence from engineering documents without any data leaving your premises. Would a 20-minute conversation be worth it?”</w:t>
      </w:r>
    </w:p>
    <w:p>
      <w:pPr>
        <w:spacing w:after="200"/>
      </w:pPr>
      <w:r>
        <w:rPr>
          <w:rFonts w:ascii="Arial" w:cs="Arial" w:eastAsia="Arial" w:hAnsi="Arial"/>
          <w:b/>
          <w:bCs/>
          <w:sz w:val="22"/>
          <w:szCs w:val="22"/>
        </w:rPr>
        <w:t xml:space="preserve">Key talking points:</w:t>
      </w:r>
    </w:p>
    <w:p>
      <w:pPr>
        <w:pStyle w:val="ListParagraph"/>
        <w:numPr>
          <w:ilvl w:val="0"/>
          <w:numId w:val="2"/>
        </w:numPr>
        <w:spacing w:after="100"/>
      </w:pPr>
      <w:r>
        <w:rPr>
          <w:rFonts w:ascii="Arial" w:cs="Arial" w:eastAsia="Arial" w:hAnsi="Arial"/>
          <w:sz w:val="22"/>
          <w:szCs w:val="22"/>
        </w:rPr>
        <w:t xml:space="preserve">You were literally doing this work months ago—you know the pain firsthand</w:t>
      </w:r>
    </w:p>
    <w:p>
      <w:pPr>
        <w:pStyle w:val="ListParagraph"/>
        <w:numPr>
          <w:ilvl w:val="0"/>
          <w:numId w:val="2"/>
        </w:numPr>
        <w:spacing w:after="100"/>
      </w:pPr>
      <w:r>
        <w:rPr>
          <w:rFonts w:ascii="Arial" w:cs="Arial" w:eastAsia="Arial" w:hAnsi="Arial"/>
          <w:sz w:val="22"/>
          <w:szCs w:val="22"/>
        </w:rPr>
        <w:t xml:space="preserve">500 pages processed in 30 seconds vs. 2 days for a junior engineer</w:t>
      </w:r>
    </w:p>
    <w:p>
      <w:pPr>
        <w:pStyle w:val="ListParagraph"/>
        <w:numPr>
          <w:ilvl w:val="0"/>
          <w:numId w:val="2"/>
        </w:numPr>
        <w:spacing w:after="100"/>
      </w:pPr>
      <w:r>
        <w:rPr>
          <w:rFonts w:ascii="Arial" w:cs="Arial" w:eastAsia="Arial" w:hAnsi="Arial"/>
          <w:sz w:val="22"/>
          <w:szCs w:val="22"/>
        </w:rPr>
        <w:t xml:space="preserve">Standards detection (ASCE 7, ACI 318, OSHA 29 CFR 1926) — speak their language</w:t>
      </w:r>
    </w:p>
    <w:p>
      <w:pPr>
        <w:pStyle w:val="ListParagraph"/>
        <w:numPr>
          <w:ilvl w:val="0"/>
          <w:numId w:val="2"/>
        </w:numPr>
        <w:spacing w:after="200"/>
      </w:pPr>
      <w:r>
        <w:rPr>
          <w:rFonts w:ascii="Arial" w:cs="Arial" w:eastAsia="Arial" w:hAnsi="Arial"/>
          <w:sz w:val="22"/>
          <w:szCs w:val="22"/>
        </w:rPr>
        <w:t xml:space="preserve">Air-gapped: nothing leaves their network. NERC CIP compatible by architecture.</w:t>
      </w:r>
    </w:p>
    <w:p>
      <w:pPr>
        <w:pStyle w:val="Heading2"/>
        <w:spacing w:before="240" w:after="200"/>
      </w:pPr>
      <w:r>
        <w:rPr>
          <w:rFonts w:ascii="Arial" w:cs="Arial" w:eastAsia="Arial" w:hAnsi="Arial"/>
        </w:rPr>
        <w:t xml:space="preserve">For CIO / Digital Transformation Leads</w:t>
      </w:r>
    </w:p>
    <w:p>
      <w:pPr>
        <w:spacing w:after="200"/>
      </w:pPr>
      <w:r>
        <w:rPr>
          <w:rFonts w:ascii="Arial" w:cs="Arial" w:eastAsia="Arial" w:hAnsi="Arial"/>
          <w:b/>
          <w:bCs/>
          <w:sz w:val="22"/>
          <w:szCs w:val="22"/>
        </w:rPr>
        <w:t xml:space="preserve">Lead with architecture, not features:</w:t>
      </w:r>
    </w:p>
    <w:p>
      <w:pPr>
        <w:spacing w:after="300"/>
      </w:pPr>
      <w:r>
        <w:rPr>
          <w:rFonts w:ascii="Arial" w:cs="Arial" w:eastAsia="Arial" w:hAnsi="Arial"/>
          <w:sz w:val="22"/>
          <w:szCs w:val="22"/>
        </w:rPr>
        <w:t xml:space="preserve">“Most AI document platforms require sending your data to the cloud. For utilities operating under NERC CIP, that’s a non-starter. AECai runs entirely on your hardware—air-gapped, no external API calls, no data exposure. We start with a consulting assessment to identify where AI creates real value in your engineering document workflows, so you’re investing in proven outcomes, not experiments.”</w:t>
      </w:r>
    </w:p>
    <w:p>
      <w:pPr>
        <w:spacing w:after="200"/>
      </w:pPr>
      <w:r>
        <w:rPr>
          <w:rFonts w:ascii="Arial" w:cs="Arial" w:eastAsia="Arial" w:hAnsi="Arial"/>
          <w:b/>
          <w:bCs/>
          <w:sz w:val="22"/>
          <w:szCs w:val="22"/>
        </w:rPr>
        <w:t xml:space="preserve">Key talking points:</w:t>
      </w:r>
    </w:p>
    <w:p>
      <w:pPr>
        <w:pStyle w:val="ListParagraph"/>
        <w:numPr>
          <w:ilvl w:val="0"/>
          <w:numId w:val="2"/>
        </w:numPr>
        <w:spacing w:after="100"/>
      </w:pPr>
      <w:r>
        <w:rPr>
          <w:rFonts w:ascii="Arial" w:cs="Arial" w:eastAsia="Arial" w:hAnsi="Arial"/>
          <w:sz w:val="22"/>
          <w:szCs w:val="22"/>
        </w:rPr>
        <w:t xml:space="preserve">Air-gapped architecture: IT can approve this because data never leaves the premises</w:t>
      </w:r>
    </w:p>
    <w:p>
      <w:pPr>
        <w:pStyle w:val="ListParagraph"/>
        <w:numPr>
          <w:ilvl w:val="0"/>
          <w:numId w:val="2"/>
        </w:numPr>
        <w:spacing w:after="100"/>
      </w:pPr>
      <w:r>
        <w:rPr>
          <w:rFonts w:ascii="Arial" w:cs="Arial" w:eastAsia="Arial" w:hAnsi="Arial"/>
          <w:sz w:val="22"/>
          <w:szCs w:val="22"/>
        </w:rPr>
        <w:t xml:space="preserve">Consulting-first reduces pilot risk—you know what you’re buying before you buy</w:t>
      </w:r>
    </w:p>
    <w:p>
      <w:pPr>
        <w:pStyle w:val="ListParagraph"/>
        <w:numPr>
          <w:ilvl w:val="0"/>
          <w:numId w:val="2"/>
        </w:numPr>
        <w:spacing w:after="100"/>
      </w:pPr>
      <w:r>
        <w:rPr>
          <w:rFonts w:ascii="Arial" w:cs="Arial" w:eastAsia="Arial" w:hAnsi="Arial"/>
          <w:sz w:val="22"/>
          <w:szCs w:val="22"/>
        </w:rPr>
        <w:t xml:space="preserve">No cloud compute costs, no API fees, near-zero marginal cost per document</w:t>
      </w:r>
    </w:p>
    <w:p>
      <w:pPr>
        <w:pStyle w:val="ListParagraph"/>
        <w:numPr>
          <w:ilvl w:val="0"/>
          <w:numId w:val="2"/>
        </w:numPr>
        <w:spacing w:after="200"/>
      </w:pPr>
      <w:r>
        <w:rPr>
          <w:rFonts w:ascii="Arial" w:cs="Arial" w:eastAsia="Arial" w:hAnsi="Arial"/>
          <w:sz w:val="22"/>
          <w:szCs w:val="22"/>
        </w:rPr>
        <w:t xml:space="preserve">Deploy on existing hardware—Mac Mini or equivalent is sufficient</w:t>
      </w:r>
    </w:p>
    <w:p>
      <w:pPr>
        <w:pStyle w:val="Heading1"/>
        <w:spacing w:before="360" w:after="200"/>
      </w:pPr>
      <w:r>
        <w:rPr>
          <w:rFonts w:ascii="Arial" w:cs="Arial" w:eastAsia="Arial" w:hAnsi="Arial"/>
        </w:rPr>
        <w:t xml:space="preserve">5. Prioritization &amp; Sequencing</w:t>
      </w:r>
    </w:p>
    <w:p>
      <w:pPr>
        <w:pStyle w:val="Heading2"/>
        <w:spacing w:before="240" w:after="200"/>
      </w:pPr>
      <w:r>
        <w:rPr>
          <w:rFonts w:ascii="Arial" w:cs="Arial" w:eastAsia="Arial" w:hAnsi="Arial"/>
        </w:rPr>
        <w:t xml:space="preserve">Phase 1: Weeks 1–4 — Build the Pipeline</w:t>
      </w:r>
    </w:p>
    <w:p>
      <w:pPr>
        <w:pStyle w:val="ListParagraph"/>
        <w:numPr>
          <w:ilvl w:val="0"/>
          <w:numId w:val="2"/>
        </w:numPr>
        <w:spacing w:after="100"/>
      </w:pPr>
      <w:r>
        <w:rPr>
          <w:rFonts w:ascii="Arial" w:cs="Arial" w:eastAsia="Arial" w:hAnsi="Arial"/>
          <w:sz w:val="22"/>
          <w:szCs w:val="22"/>
        </w:rPr>
        <w:t xml:space="preserve">Complete LinkedIn research for all Tier 1 utilities (Southern Company, Duke Energy, NextEra, Dominion, Xcel Energy)</w:t>
      </w:r>
    </w:p>
    <w:p>
      <w:pPr>
        <w:pStyle w:val="ListParagraph"/>
        <w:numPr>
          <w:ilvl w:val="0"/>
          <w:numId w:val="2"/>
        </w:numPr>
        <w:spacing w:after="100"/>
      </w:pPr>
      <w:r>
        <w:rPr>
          <w:rFonts w:ascii="Arial" w:cs="Arial" w:eastAsia="Arial" w:hAnsi="Arial"/>
          <w:sz w:val="22"/>
          <w:szCs w:val="22"/>
        </w:rPr>
        <w:t xml:space="preserve">Identify 2 contacts per utility (VP Eng + CIO/CDO)</w:t>
      </w:r>
    </w:p>
    <w:p>
      <w:pPr>
        <w:pStyle w:val="ListParagraph"/>
        <w:numPr>
          <w:ilvl w:val="0"/>
          <w:numId w:val="2"/>
        </w:numPr>
        <w:spacing w:after="100"/>
      </w:pPr>
      <w:r>
        <w:rPr>
          <w:rFonts w:ascii="Arial" w:cs="Arial" w:eastAsia="Arial" w:hAnsi="Arial"/>
          <w:sz w:val="22"/>
          <w:szCs w:val="22"/>
        </w:rPr>
        <w:t xml:space="preserve">Begin outreach sequence for Tier 1 targets</w:t>
      </w:r>
    </w:p>
    <w:p>
      <w:pPr>
        <w:pStyle w:val="ListParagraph"/>
        <w:numPr>
          <w:ilvl w:val="0"/>
          <w:numId w:val="2"/>
        </w:numPr>
        <w:spacing w:after="200"/>
      </w:pPr>
      <w:r>
        <w:rPr>
          <w:rFonts w:ascii="Arial" w:cs="Arial" w:eastAsia="Arial" w:hAnsi="Arial"/>
          <w:sz w:val="22"/>
          <w:szCs w:val="22"/>
        </w:rPr>
        <w:t xml:space="preserve">Simultaneously research Tier 2 contacts</w:t>
      </w:r>
    </w:p>
    <w:p>
      <w:pPr>
        <w:pStyle w:val="Heading2"/>
        <w:spacing w:before="240" w:after="200"/>
      </w:pPr>
      <w:r>
        <w:rPr>
          <w:rFonts w:ascii="Arial" w:cs="Arial" w:eastAsia="Arial" w:hAnsi="Arial"/>
        </w:rPr>
        <w:t xml:space="preserve">Phase 2: Weeks 5–8 — Expand &amp; Convert</w:t>
      </w:r>
    </w:p>
    <w:p>
      <w:pPr>
        <w:pStyle w:val="ListParagraph"/>
        <w:numPr>
          <w:ilvl w:val="0"/>
          <w:numId w:val="2"/>
        </w:numPr>
        <w:spacing w:after="100"/>
      </w:pPr>
      <w:r>
        <w:rPr>
          <w:rFonts w:ascii="Arial" w:cs="Arial" w:eastAsia="Arial" w:hAnsi="Arial"/>
          <w:sz w:val="22"/>
          <w:szCs w:val="22"/>
        </w:rPr>
        <w:t xml:space="preserve">Begin Tier 2 outreach (TVA, Entergy, TECO, Tri-State, Colorado Springs Utilities)</w:t>
      </w:r>
    </w:p>
    <w:p>
      <w:pPr>
        <w:pStyle w:val="ListParagraph"/>
        <w:numPr>
          <w:ilvl w:val="0"/>
          <w:numId w:val="2"/>
        </w:numPr>
        <w:spacing w:after="100"/>
      </w:pPr>
      <w:r>
        <w:rPr>
          <w:rFonts w:ascii="Arial" w:cs="Arial" w:eastAsia="Arial" w:hAnsi="Arial"/>
          <w:sz w:val="22"/>
          <w:szCs w:val="22"/>
        </w:rPr>
        <w:t xml:space="preserve">Follow up on Tier 1 responses—convert interested contacts to discovery calls</w:t>
      </w:r>
    </w:p>
    <w:p>
      <w:pPr>
        <w:pStyle w:val="ListParagraph"/>
        <w:numPr>
          <w:ilvl w:val="0"/>
          <w:numId w:val="2"/>
        </w:numPr>
        <w:spacing w:after="100"/>
      </w:pPr>
      <w:r>
        <w:rPr>
          <w:rFonts w:ascii="Arial" w:cs="Arial" w:eastAsia="Arial" w:hAnsi="Arial"/>
          <w:sz w:val="22"/>
          <w:szCs w:val="22"/>
        </w:rPr>
        <w:t xml:space="preserve">Begin publishing utility-specific content on LinkedIn (document processing pain points)</w:t>
      </w:r>
    </w:p>
    <w:p>
      <w:pPr>
        <w:pStyle w:val="ListParagraph"/>
        <w:numPr>
          <w:ilvl w:val="0"/>
          <w:numId w:val="2"/>
        </w:numPr>
        <w:spacing w:after="200"/>
      </w:pPr>
      <w:r>
        <w:rPr>
          <w:rFonts w:ascii="Arial" w:cs="Arial" w:eastAsia="Arial" w:hAnsi="Arial"/>
          <w:sz w:val="22"/>
          <w:szCs w:val="22"/>
        </w:rPr>
        <w:t xml:space="preserve">Research utility industry conferences (DistribuTECH, EUCI, EEI) for in-person opportunities</w:t>
      </w:r>
    </w:p>
    <w:p>
      <w:pPr>
        <w:pStyle w:val="Heading2"/>
        <w:spacing w:before="240" w:after="200"/>
      </w:pPr>
      <w:r>
        <w:rPr>
          <w:rFonts w:ascii="Arial" w:cs="Arial" w:eastAsia="Arial" w:hAnsi="Arial"/>
        </w:rPr>
        <w:t xml:space="preserve">Phase 3: Weeks 9–12 — Close &amp; Prove</w:t>
      </w:r>
    </w:p>
    <w:p>
      <w:pPr>
        <w:pStyle w:val="ListParagraph"/>
        <w:numPr>
          <w:ilvl w:val="0"/>
          <w:numId w:val="2"/>
        </w:numPr>
        <w:spacing w:after="100"/>
      </w:pPr>
      <w:r>
        <w:rPr>
          <w:rFonts w:ascii="Arial" w:cs="Arial" w:eastAsia="Arial" w:hAnsi="Arial"/>
          <w:sz w:val="22"/>
          <w:szCs w:val="22"/>
        </w:rPr>
        <w:t xml:space="preserve">Begin Tier 3 outreach (municipal/cooperative utilities)</w:t>
      </w:r>
    </w:p>
    <w:p>
      <w:pPr>
        <w:pStyle w:val="ListParagraph"/>
        <w:numPr>
          <w:ilvl w:val="0"/>
          <w:numId w:val="2"/>
        </w:numPr>
        <w:spacing w:after="100"/>
      </w:pPr>
      <w:r>
        <w:rPr>
          <w:rFonts w:ascii="Arial" w:cs="Arial" w:eastAsia="Arial" w:hAnsi="Arial"/>
          <w:sz w:val="22"/>
          <w:szCs w:val="22"/>
        </w:rPr>
        <w:t xml:space="preserve">Target: at least 1 signed consulting engagement from Tier 1 or Tier 2</w:t>
      </w:r>
    </w:p>
    <w:p>
      <w:pPr>
        <w:pStyle w:val="ListParagraph"/>
        <w:numPr>
          <w:ilvl w:val="0"/>
          <w:numId w:val="2"/>
        </w:numPr>
        <w:spacing w:after="100"/>
      </w:pPr>
      <w:r>
        <w:rPr>
          <w:rFonts w:ascii="Arial" w:cs="Arial" w:eastAsia="Arial" w:hAnsi="Arial"/>
          <w:sz w:val="22"/>
          <w:szCs w:val="22"/>
        </w:rPr>
        <w:t xml:space="preserve">Use Tier 3 utilities as fast-pilot candidates (faster procurement, more accessible decision-makers)</w:t>
      </w:r>
    </w:p>
    <w:p>
      <w:pPr>
        <w:pStyle w:val="ListParagraph"/>
        <w:numPr>
          <w:ilvl w:val="0"/>
          <w:numId w:val="2"/>
        </w:numPr>
        <w:spacing w:after="200"/>
      </w:pPr>
      <w:r>
        <w:rPr>
          <w:rFonts w:ascii="Arial" w:cs="Arial" w:eastAsia="Arial" w:hAnsi="Arial"/>
          <w:sz w:val="22"/>
          <w:szCs w:val="22"/>
        </w:rPr>
        <w:t xml:space="preserve">Generate first utility case study/testimonial to accelerate remaining pipeline</w:t>
      </w:r>
    </w:p>
    <w:p>
      <w:pPr>
        <w:pStyle w:val="Heading1"/>
        <w:spacing w:before="360" w:after="200"/>
      </w:pPr>
      <w:r>
        <w:rPr>
          <w:rFonts w:ascii="Arial" w:cs="Arial" w:eastAsia="Arial" w:hAnsi="Arial"/>
        </w:rPr>
        <w:t xml:space="preserve">6. Key Industry Events &amp; Associations</w:t>
      </w:r>
    </w:p>
    <w:p>
      <w:pPr>
        <w:spacing w:after="300"/>
      </w:pPr>
      <w:r>
        <w:rPr>
          <w:rFonts w:ascii="Arial" w:cs="Arial" w:eastAsia="Arial" w:hAnsi="Arial"/>
          <w:sz w:val="22"/>
          <w:szCs w:val="22"/>
        </w:rPr>
        <w:t xml:space="preserve">These are where utility engineering and IT leaders gather. Even without attending, you can use these as outreach hooks (“Are you going to DistribuTECH this year?”) and credibility signals (sharing relevant content around event dates).</w:t>
      </w:r>
    </w:p>
    <w:p>
      <w:pPr>
        <w:pStyle w:val="ListParagraph"/>
        <w:numPr>
          <w:ilvl w:val="0"/>
          <w:numId w:val="2"/>
        </w:numPr>
        <w:spacing w:after="100"/>
      </w:pPr>
      <w:r>
        <w:rPr>
          <w:rFonts w:ascii="Arial" w:cs="Arial" w:eastAsia="Arial" w:hAnsi="Arial"/>
          <w:b/>
          <w:bCs/>
          <w:sz w:val="22"/>
          <w:szCs w:val="22"/>
        </w:rPr>
        <w:t xml:space="preserve">DistribuTECH </w:t>
      </w:r>
      <w:r>
        <w:rPr>
          <w:rFonts w:ascii="Arial" w:cs="Arial" w:eastAsia="Arial" w:hAnsi="Arial"/>
          <w:sz w:val="22"/>
          <w:szCs w:val="22"/>
        </w:rPr>
        <w:t xml:space="preserve">— Largest utility technology conference. Grid modernization, digital transformation.</w:t>
      </w:r>
    </w:p>
    <w:p>
      <w:pPr>
        <w:pStyle w:val="ListParagraph"/>
        <w:numPr>
          <w:ilvl w:val="0"/>
          <w:numId w:val="2"/>
        </w:numPr>
        <w:spacing w:after="100"/>
      </w:pPr>
      <w:r>
        <w:rPr>
          <w:rFonts w:ascii="Arial" w:cs="Arial" w:eastAsia="Arial" w:hAnsi="Arial"/>
          <w:b/>
          <w:bCs/>
          <w:sz w:val="22"/>
          <w:szCs w:val="22"/>
        </w:rPr>
        <w:t xml:space="preserve">IEEE PES (Power &amp; Energy Society) </w:t>
      </w:r>
      <w:r>
        <w:rPr>
          <w:rFonts w:ascii="Arial" w:cs="Arial" w:eastAsia="Arial" w:hAnsi="Arial"/>
          <w:sz w:val="22"/>
          <w:szCs w:val="22"/>
        </w:rPr>
        <w:t xml:space="preserve">— Technical engineering focus. Strong credibility channel.</w:t>
      </w:r>
    </w:p>
    <w:p>
      <w:pPr>
        <w:pStyle w:val="ListParagraph"/>
        <w:numPr>
          <w:ilvl w:val="0"/>
          <w:numId w:val="2"/>
        </w:numPr>
        <w:spacing w:after="100"/>
      </w:pPr>
      <w:r>
        <w:rPr>
          <w:rFonts w:ascii="Arial" w:cs="Arial" w:eastAsia="Arial" w:hAnsi="Arial"/>
          <w:b/>
          <w:bCs/>
          <w:sz w:val="22"/>
          <w:szCs w:val="22"/>
        </w:rPr>
        <w:t xml:space="preserve">EUCI (Electric Utility Consultants, Inc.) </w:t>
      </w:r>
      <w:r>
        <w:rPr>
          <w:rFonts w:ascii="Arial" w:cs="Arial" w:eastAsia="Arial" w:hAnsi="Arial"/>
          <w:sz w:val="22"/>
          <w:szCs w:val="22"/>
        </w:rPr>
        <w:t xml:space="preserve">— Focused conferences on transmission, generation, compliance. Smaller, high-value networking.</w:t>
      </w:r>
    </w:p>
    <w:p>
      <w:pPr>
        <w:pStyle w:val="ListParagraph"/>
        <w:numPr>
          <w:ilvl w:val="0"/>
          <w:numId w:val="2"/>
        </w:numPr>
        <w:spacing w:after="100"/>
      </w:pPr>
      <w:r>
        <w:rPr>
          <w:rFonts w:ascii="Arial" w:cs="Arial" w:eastAsia="Arial" w:hAnsi="Arial"/>
          <w:b/>
          <w:bCs/>
          <w:sz w:val="22"/>
          <w:szCs w:val="22"/>
        </w:rPr>
        <w:t xml:space="preserve">EEI (Edison Electric Institute) </w:t>
      </w:r>
      <w:r>
        <w:rPr>
          <w:rFonts w:ascii="Arial" w:cs="Arial" w:eastAsia="Arial" w:hAnsi="Arial"/>
          <w:sz w:val="22"/>
          <w:szCs w:val="22"/>
        </w:rPr>
        <w:t xml:space="preserve">— IOU trade association. Executive-level. Annual meeting is C-suite focused.</w:t>
      </w:r>
    </w:p>
    <w:p>
      <w:pPr>
        <w:pStyle w:val="ListParagraph"/>
        <w:numPr>
          <w:ilvl w:val="0"/>
          <w:numId w:val="2"/>
        </w:numPr>
        <w:spacing w:after="100"/>
      </w:pPr>
      <w:r>
        <w:rPr>
          <w:rFonts w:ascii="Arial" w:cs="Arial" w:eastAsia="Arial" w:hAnsi="Arial"/>
          <w:b/>
          <w:bCs/>
          <w:sz w:val="22"/>
          <w:szCs w:val="22"/>
        </w:rPr>
        <w:t xml:space="preserve">APPA (American Public Power Association) </w:t>
      </w:r>
      <w:r>
        <w:rPr>
          <w:rFonts w:ascii="Arial" w:cs="Arial" w:eastAsia="Arial" w:hAnsi="Arial"/>
          <w:sz w:val="22"/>
          <w:szCs w:val="22"/>
        </w:rPr>
        <w:t xml:space="preserve">— Municipal utility association. Great for Tier 3 targets.</w:t>
      </w:r>
    </w:p>
    <w:p>
      <w:pPr>
        <w:pStyle w:val="ListParagraph"/>
        <w:numPr>
          <w:ilvl w:val="0"/>
          <w:numId w:val="2"/>
        </w:numPr>
        <w:spacing w:after="200"/>
      </w:pPr>
      <w:r>
        <w:rPr>
          <w:rFonts w:ascii="Arial" w:cs="Arial" w:eastAsia="Arial" w:hAnsi="Arial"/>
          <w:b/>
          <w:bCs/>
          <w:sz w:val="22"/>
          <w:szCs w:val="22"/>
        </w:rPr>
        <w:t xml:space="preserve">NRECA (National Rural Electric Cooperative Association) </w:t>
      </w:r>
      <w:r>
        <w:rPr>
          <w:rFonts w:ascii="Arial" w:cs="Arial" w:eastAsia="Arial" w:hAnsi="Arial"/>
          <w:sz w:val="22"/>
          <w:szCs w:val="22"/>
        </w:rPr>
        <w:t xml:space="preserve">— Cooperative utility association. Relevant for Tri-State, Oglethorpe, and member co-ops.</w:t>
      </w:r>
    </w:p>
    <w:p>
      <w:pPr>
        <w:pStyle w:val="Heading1"/>
        <w:spacing w:before="360" w:after="200"/>
      </w:pPr>
      <w:r>
        <w:rPr>
          <w:rFonts w:ascii="Arial" w:cs="Arial" w:eastAsia="Arial" w:hAnsi="Arial"/>
        </w:rPr>
        <w:t xml:space="preserve">7. Immediate Next Steps</w:t>
      </w:r>
    </w:p>
    <w:p>
      <w:pPr>
        <w:pStyle w:val="ListParagraph"/>
        <w:numPr>
          <w:ilvl w:val="0"/>
          <w:numId w:val="3"/>
        </w:numPr>
        <w:spacing w:after="120"/>
      </w:pPr>
      <w:r>
        <w:rPr>
          <w:rFonts w:ascii="Arial" w:cs="Arial" w:eastAsia="Arial" w:hAnsi="Arial"/>
          <w:b/>
          <w:bCs/>
          <w:sz w:val="22"/>
          <w:szCs w:val="22"/>
        </w:rPr>
        <w:t xml:space="preserve">LinkedIn Sales Navigator: </w:t>
      </w:r>
      <w:r>
        <w:rPr>
          <w:rFonts w:ascii="Arial" w:cs="Arial" w:eastAsia="Arial" w:hAnsi="Arial"/>
          <w:sz w:val="22"/>
          <w:szCs w:val="22"/>
        </w:rPr>
        <w:t xml:space="preserve">Get a free trial or paid subscription ($80/mo). This is non-negotiable for efficient contact research. Filter by company + title + geography.</w:t>
      </w:r>
    </w:p>
    <w:p>
      <w:pPr>
        <w:pStyle w:val="ListParagraph"/>
        <w:numPr>
          <w:ilvl w:val="0"/>
          <w:numId w:val="3"/>
        </w:numPr>
        <w:spacing w:after="120"/>
      </w:pPr>
      <w:r>
        <w:rPr>
          <w:rFonts w:ascii="Arial" w:cs="Arial" w:eastAsia="Arial" w:hAnsi="Arial"/>
          <w:b/>
          <w:bCs/>
          <w:sz w:val="22"/>
          <w:szCs w:val="22"/>
        </w:rPr>
        <w:t xml:space="preserve">Fill in the tracker: </w:t>
      </w:r>
      <w:r>
        <w:rPr>
          <w:rFonts w:ascii="Arial" w:cs="Arial" w:eastAsia="Arial" w:hAnsi="Arial"/>
          <w:sz w:val="22"/>
          <w:szCs w:val="22"/>
        </w:rPr>
        <w:t xml:space="preserve">Use the accompanying spreadsheet to identify specific contacts at each Tier 1 utility. Aim for 2 contacts per utility (VP Eng + CIO/CDO).</w:t>
      </w:r>
    </w:p>
    <w:p>
      <w:pPr>
        <w:pStyle w:val="ListParagraph"/>
        <w:numPr>
          <w:ilvl w:val="0"/>
          <w:numId w:val="3"/>
        </w:numPr>
        <w:spacing w:after="120"/>
      </w:pPr>
      <w:r>
        <w:rPr>
          <w:rFonts w:ascii="Arial" w:cs="Arial" w:eastAsia="Arial" w:hAnsi="Arial"/>
          <w:b/>
          <w:bCs/>
          <w:sz w:val="22"/>
          <w:szCs w:val="22"/>
        </w:rPr>
        <w:t xml:space="preserve">Verify email addresses: </w:t>
      </w:r>
      <w:r>
        <w:rPr>
          <w:rFonts w:ascii="Arial" w:cs="Arial" w:eastAsia="Arial" w:hAnsi="Arial"/>
          <w:sz w:val="22"/>
          <w:szCs w:val="22"/>
        </w:rPr>
        <w:t xml:space="preserve">Use Hunter.io, Apollo.io, or similar to find professional email addresses. LinkedIn InMail is backup.</w:t>
      </w:r>
    </w:p>
    <w:p>
      <w:pPr>
        <w:pStyle w:val="ListParagraph"/>
        <w:numPr>
          <w:ilvl w:val="0"/>
          <w:numId w:val="3"/>
        </w:numPr>
        <w:spacing w:after="120"/>
      </w:pPr>
      <w:r>
        <w:rPr>
          <w:rFonts w:ascii="Arial" w:cs="Arial" w:eastAsia="Arial" w:hAnsi="Arial"/>
          <w:b/>
          <w:bCs/>
          <w:sz w:val="22"/>
          <w:szCs w:val="22"/>
        </w:rPr>
        <w:t xml:space="preserve">Start Tier 1 outreach: </w:t>
      </w:r>
      <w:r>
        <w:rPr>
          <w:rFonts w:ascii="Arial" w:cs="Arial" w:eastAsia="Arial" w:hAnsi="Arial"/>
          <w:sz w:val="22"/>
          <w:szCs w:val="22"/>
        </w:rPr>
        <w:t xml:space="preserve">Begin the 7-touch sequence with Southern Company and Duke Energy first—they’re the largest and closest to your SE USA base.</w:t>
      </w:r>
    </w:p>
    <w:p>
      <w:pPr>
        <w:pStyle w:val="ListParagraph"/>
        <w:numPr>
          <w:ilvl w:val="0"/>
          <w:numId w:val="3"/>
        </w:numPr>
        <w:spacing w:after="200"/>
      </w:pPr>
      <w:r>
        <w:rPr>
          <w:rFonts w:ascii="Arial" w:cs="Arial" w:eastAsia="Arial" w:hAnsi="Arial"/>
          <w:b/>
          <w:bCs/>
          <w:sz w:val="22"/>
          <w:szCs w:val="22"/>
        </w:rPr>
        <w:t xml:space="preserve">Prepare the consulting offer: </w:t>
      </w:r>
      <w:r>
        <w:rPr>
          <w:rFonts w:ascii="Arial" w:cs="Arial" w:eastAsia="Arial" w:hAnsi="Arial"/>
          <w:sz w:val="22"/>
          <w:szCs w:val="22"/>
        </w:rPr>
        <w:t xml:space="preserve">Create a one-page AI Readiness Assessment overview that you can send as a follow-up to interested contacts. Simple, clean, focused on outcomes.</w:t>
      </w:r>
    </w:p>
    <w:p>
      <w:pPr>
        <w:pBdr>
          <w:top w:val="single" w:color="1B3A5C" w:sz="6" w:space="8"/>
        </w:pBdr>
        <w:spacing w:before="400"/>
      </w:pPr>
      <w:r>
        <w:rPr>
          <w:rFonts w:ascii="Arial" w:cs="Arial" w:eastAsia="Arial" w:hAnsi="Arial"/>
          <w:i/>
          <w:iCs/>
          <w:color w:val="999999"/>
          <w:sz w:val="20"/>
          <w:szCs w:val="20"/>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999999"/>
        <w:sz w:val="18"/>
        <w:szCs w:val="18"/>
      </w:rPr>
      <w:t xml:space="preserve">AECai  |  Utility Outreach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2026-02-13T16:43:53.203Z</dcterms:created>
  <dcterms:modified xsi:type="dcterms:W3CDTF">2026-02-13T16:43:53.204Z</dcterms:modified>
</cp:coreProperties>
</file>

<file path=docProps/custom.xml><?xml version="1.0" encoding="utf-8"?>
<Properties xmlns="http://schemas.openxmlformats.org/officeDocument/2006/custom-properties" xmlns:vt="http://schemas.openxmlformats.org/officeDocument/2006/docPropsVTypes"/>
</file>