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6864D1"/>
          <w:sz w:val="56"/>
          <w:szCs w:val="56"/>
        </w:rPr>
        <w:t xml:space="preserve">SPOTON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F3452"/>
          <w:sz w:val="36"/>
          <w:szCs w:val="36"/>
        </w:rPr>
        <w:t xml:space="preserve">Competitor Teardown &amp; Strategic Overview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E7E"/>
          <w:sz w:val="22"/>
          <w:szCs w:val="22"/>
        </w:rPr>
        <w:t xml:space="preserve">Companion deep-dive to the PAR Competitive Intelligence Monitor</w:t>
      </w:r>
    </w:p>
    <w:p>
      <w:pPr>
        <w:spacing w:after="240"/>
      </w:pPr>
      <w:r>
        <w:rPr>
          <w:rFonts w:ascii="Arial" w:cs="Arial" w:eastAsia="Arial" w:hAnsi="Arial"/>
          <w:color w:val="8A93AE"/>
          <w:sz w:val="16"/>
          <w:szCs w:val="16"/>
        </w:rPr>
        <w:t xml:space="preserve">Prepared April 2026 · Updated continuously via dashboard</w:t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SpotOn is a private, San Francisco-headquartered restaurant technology company offering an integrated POS, payments, marketing, loyalty, and online ordering platform aimed primarily at full-service restaurants (FSRs), bars, and small-to-mid-market hospitality groups. The company has raised over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$928M in disclosed funding</w:t>
      </w:r>
      <w:r>
        <w:rPr>
          <w:rFonts w:ascii="Arial" w:cs="Arial" w:eastAsia="Arial" w:hAnsi="Arial"/>
          <w:sz w:val="22"/>
          <w:szCs w:val="22"/>
        </w:rPr>
        <w:t xml:space="preserve"> across 11 rounds — most recently a $66M growth round in March 2024 led by Dragoneer — and was last valued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$3.15B (down from a $3.6B peak in 2022)</w:t>
      </w:r>
      <w:r>
        <w:rPr>
          <w:rFonts w:ascii="Arial" w:cs="Arial" w:eastAsia="Arial" w:hAnsi="Arial"/>
          <w:sz w:val="22"/>
          <w:szCs w:val="22"/>
        </w:rPr>
        <w:t xml:space="preserve">, reflecting the broader correction in restaurant tech valuations.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Strategically, SpotOn occupies a hybrid niche: more vertically purpose-built and consultative than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Toast</w:t>
      </w:r>
      <w:r>
        <w:rPr>
          <w:rFonts w:ascii="Arial" w:cs="Arial" w:eastAsia="Arial" w:hAnsi="Arial"/>
          <w:sz w:val="22"/>
          <w:szCs w:val="22"/>
        </w:rPr>
        <w:t xml:space="preserve"> at the SMB level, but more service-heavy and FSR-focused than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Square</w:t>
      </w:r>
      <w:r>
        <w:rPr>
          <w:rFonts w:ascii="Arial" w:cs="Arial" w:eastAsia="Arial" w:hAnsi="Arial"/>
          <w:sz w:val="22"/>
          <w:szCs w:val="22"/>
        </w:rPr>
        <w:t xml:space="preserve">. Their core differentiation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"local, white-glove" go-to-market</w:t>
      </w:r>
      <w:r>
        <w:rPr>
          <w:rFonts w:ascii="Arial" w:cs="Arial" w:eastAsia="Arial" w:hAnsi="Arial"/>
          <w:sz w:val="22"/>
          <w:szCs w:val="22"/>
        </w:rPr>
        <w:t xml:space="preserve"> — every account gets a dedicated rep — paired with strong dine-in tooling (handhelds, KDS, reservations via the SpotOn Reserve acquisition) and an aggressive payments-attached model. They have notably retreated from enterprise/multi-unit verticals (sports &amp; entertainment was divested in 2024), refocusing on independents and small chains.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this matters for PAR:</w:t>
      </w:r>
      <w:r>
        <w:rPr>
          <w:rFonts w:ascii="Arial" w:cs="Arial" w:eastAsia="Arial" w:hAnsi="Arial"/>
          <w:sz w:val="22"/>
          <w:szCs w:val="22"/>
        </w:rPr>
        <w:t xml:space="preserve"> SpotOn does not directly compete with PAR's enterprise/Tier-1 chain footprint (Brink, Punchh) — but the company's relentless focus on FSR, deep payments-attach, and well-capitalized field sales motion makes them a serious threat to PAR's mid-market and franchisee-tier ambitions. SpotOn's recent product investments in AI-powered ordering, labor management, and a unified back-office are converging toward the same workload PAR is positioning Stuzo and Data Central to address.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2. Company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Founded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 by Matt Hyman, Doron Friedman, and Zach Hyman (San Francisco, CA)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HQ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 Francisco, CA · 1,800+ employees (per LinkedIn, April 2026)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Private; pre-IPO. CFO Sandeep Bhanote hired November 2024 — widely read as IPO-track preparation.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Total Raised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~$928M across 11 disclosed rounds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Last Round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$66M growth round, March 2024 (Dragoneer Investment Group lead)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Valuation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$3.15B (March 2024) — down from $3.6B peak (May 2022 Series F)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Key Investors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Andreessen Horowitz, DST Global, Dragoneer, 01 Advisors, Mubadala, Coatue, Franklin Templeton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Customer Base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Reported 30,000+ SMB restaurant and small-business locations (company claim, 2025)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Annualized Revenue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$400–500M (analyst triangulation; not publicly disclosed)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CEO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 Hyman (co-founder, ongoing)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Board / Recent Hires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Sandeep Bhanote (CFO, ex-DocuSign), Bryan Solar (CPO/CTO, ex-Square restaurants)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3. Strategy &amp; Positioning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Strategic Thesis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SpotOn's central bet is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independent and small-chain full-service restaurants</w:t>
      </w:r>
      <w:r>
        <w:rPr>
          <w:rFonts w:ascii="Arial" w:cs="Arial" w:eastAsia="Arial" w:hAnsi="Arial"/>
          <w:sz w:val="22"/>
          <w:szCs w:val="22"/>
        </w:rPr>
        <w:t xml:space="preserve"> are systematically underserved by both legacy POS vendors (NCR Voyix, Oracle MICROS) and the volume-driven SMB platforms (Toast, Square). They believe these operators want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integrated software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local human support</w:t>
      </w:r>
      <w:r>
        <w:rPr>
          <w:rFonts w:ascii="Arial" w:cs="Arial" w:eastAsia="Arial" w:hAnsi="Arial"/>
          <w:sz w:val="22"/>
          <w:szCs w:val="22"/>
        </w:rPr>
        <w:t xml:space="preserve"> — and will pay a payments-attached premium to get 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Strategic Pillars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Pillar 1: Vertical depth in full-service hospitality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Unlike Toast (broad-mass restaurant), SpotOn double-clicks on full-service: handhelds, table management, reservations (SpotOn Reserve, formerly Appointment-Plus + Dolce), tip pooling, KDS routing, and modifier-heavy menu engineering. The 2023 Hospitality Industry Report and 2025 "Restaurant Tech for Hospitality" study they publish are explicit positioning artifacts.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Pillar 2: Payments-attached economics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SpotOn does not lead with hardware ARR — they lead with payment processing volume. Software bundles are priced to drive merchant payments adoption, similar to Toast and Square. Per industry estimates, payments revenue is now 60–70% of total revenue. This is the single most important number to watch when assessing SpotOn's defensibility.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</w:rPr>
        <w:t xml:space="preserve">Pillar 3: Field sales + local rep model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SpotOn's most distinctive go-to-market lever: every customer gets a named local representative, not just an inside-sales rep. They've built out 100+ field offices. This drives higher acquisition costs but — they argue — meaningfully lower churn at the SMB FSR level. It is also expensive to scale, which is why the recent layoffs and divestitures matter.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Strategic Inflection Points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2023 — Layoffs of ~12% of staff</w:t>
      </w:r>
      <w:r>
        <w:rPr>
          <w:rFonts w:ascii="Arial" w:cs="Arial" w:eastAsia="Arial" w:hAnsi="Arial"/>
          <w:sz w:val="22"/>
          <w:szCs w:val="22"/>
        </w:rPr>
        <w:t xml:space="preserve"> (July 2023, ~115 roles): first material expense reset post-Series F. Signaled growth-at-all-costs era was over.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Aug 2024 — Divestiture of Sports &amp; Entertainment unit</w:t>
      </w:r>
      <w:r>
        <w:rPr>
          <w:rFonts w:ascii="Arial" w:cs="Arial" w:eastAsia="Arial" w:hAnsi="Arial"/>
          <w:sz w:val="22"/>
          <w:szCs w:val="22"/>
        </w:rPr>
        <w:t xml:space="preserve"> to NeoLeap (a private equity vehicle): SpotOn exited venues/stadiums to refocus exclusively on restaurants. This was the single largest strategic narrowing in the company's history.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 2024 — CFO hire (Sandeep Bhanote, ex-DocuSign IPO team)</w:t>
      </w:r>
      <w:r>
        <w:rPr>
          <w:rFonts w:ascii="Arial" w:cs="Arial" w:eastAsia="Arial" w:hAnsi="Arial"/>
          <w:sz w:val="22"/>
          <w:szCs w:val="22"/>
        </w:rPr>
        <w:t xml:space="preserve">: almost universally read as IPO-track signal. Watch for an S-1 filing window in 2026–27.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2025 — AI product wave</w:t>
      </w:r>
      <w:r>
        <w:rPr>
          <w:rFonts w:ascii="Arial" w:cs="Arial" w:eastAsia="Arial" w:hAnsi="Arial"/>
          <w:sz w:val="22"/>
          <w:szCs w:val="22"/>
        </w:rPr>
        <w:t xml:space="preserve">: SpotOn AI Assist (front-of-house AI agent), AI-powered marketing campaigns, and predictive labor scheduling launched. Aimed at matching Toast Sous Chef and Square's AI features.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4. Ideal Customer Profile (ICP)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Based on SpotOn's customer case studies, sales collateral, and field-rep targeting patterns, the ICP segments are tightly defined. PAR teams should view SpotOn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threatening</w:t>
      </w:r>
      <w:r>
        <w:rPr>
          <w:rFonts w:ascii="Arial" w:cs="Arial" w:eastAsia="Arial" w:hAnsi="Arial"/>
          <w:sz w:val="22"/>
          <w:szCs w:val="22"/>
        </w:rPr>
        <w:t xml:space="preserve"> in segments 1 and 2 below; segments 3 and 4 are aspirational/expansion targets where SpotOn is still building credibility.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Primary ICP — The Sweet Spot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Vertical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Full-service restaurants (FSR), bars, breweries, casual dining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 locations · $1M–$10M annual revenue per location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U.S. only; concentrated in CA, TX, FL, NY, AZ, Midwest secondary metros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Buyer Persona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Owner-operator / GM (not CIO/CFO). Decision cycle: 2–6 weeks.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Disjointed POS + reservation + loyalty stack; high payments fees; staff turnover; no analytics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Trigger Events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contract renewal, opening 2nd–4th location, payment processor renegotiation, post-COVID rebuild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Secondary ICP — Local Multi-Unit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Vertical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restaurant groups, hotel F&amp;B, country clubs, golf clubs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10–50 locations · regional brand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primary; growing into Southeast and Mountain West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Buyer Persona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of Operations or VP Tech. Longer cycle (3–6 months); RFP common.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Differentiation Ask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roll-up, multi-location menu management, centralized loyalty/marketing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Aspirational ICP — Mid-Market Chain (where they meet PAR)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Vertical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restaurant chains pushing past the local-multi-unit phase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50–200 locations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primary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Buyer Persona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Tech / CIO. Formal RFP; 6–12 month cycle.</w:t>
            </w:r>
          </w:p>
        </w:tc>
      </w:tr>
      <w:tr>
        <w:tc>
          <w:tcPr>
            <w:tcW w:type="dxa" w:w="24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PAR Overlap</w:t>
            </w:r>
          </w:p>
        </w:tc>
        <w:tc>
          <w:tcPr>
            <w:tcW w:type="dxa" w:w="69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where PAR Brink and Toast Enterprise compete. SpotOn lacks reference accounts here.</w:t>
            </w:r>
          </w:p>
        </w:tc>
      </w:tr>
    </w:tbl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SpotOn is increasingly pitching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50–200 location regional chains</w:t>
      </w:r>
      <w:r>
        <w:rPr>
          <w:rFonts w:ascii="Arial" w:cs="Arial" w:eastAsia="Arial" w:hAnsi="Arial"/>
          <w:sz w:val="22"/>
          <w:szCs w:val="22"/>
        </w:rPr>
        <w:t xml:space="preserve">, which is where PAR Brink and Toast Enterprise overlap. SpotOn's win-rate here is unproven — they lack the multi-tenant deployment tooling, EDI/loyalty data integration, and franchise-friendly architecture PAR has built over a decade. But they are pricing aggressively to take pilot deals.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is the segment to actively defend.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Anti-ICP — Segments Explicitly Not Targeted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Tier-1 enterprise QSR (McDonald's, Burger King, Chick-fil-A, Wendy's) — exited via S&amp;E divestiture; no enterprise reference accounts.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Convenience &amp; fuel retail — no relevant SKU; Stuzo / PAR's c-store push is not a SpotOn battlefield.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International (outside U.S.) — no go-to-market presence in EMEA, LATAM, APAC.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Pure delivery / ghost-kitchen operators — limited integration depth vs. Olo, Deliverect, Otter.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5. Product &amp; Service Differentiation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Product Suite Overview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SpotOn's product strategy is to bundle a vertically-tuned restaurant operating system. The platform is more cohesive than Toast's (which has grown by acquisition into 30+ SKUs), and more restaurant-specific than Square's. Key modules: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SpotOn Restaurant</w:t>
      </w:r>
      <w:r>
        <w:rPr>
          <w:rFonts w:ascii="Arial" w:cs="Arial" w:eastAsia="Arial" w:hAnsi="Arial"/>
          <w:sz w:val="22"/>
          <w:szCs w:val="22"/>
        </w:rPr>
        <w:t xml:space="preserve"> — core POS (terminal + handheld); dine-in optimized.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SpotOn Reserve</w:t>
      </w:r>
      <w:r>
        <w:rPr>
          <w:rFonts w:ascii="Arial" w:cs="Arial" w:eastAsia="Arial" w:hAnsi="Arial"/>
          <w:sz w:val="22"/>
          <w:szCs w:val="22"/>
        </w:rPr>
        <w:t xml:space="preserve"> — reservations &amp; waitlist (acquired Dolce, 2021).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SpotOn Marketing</w:t>
      </w:r>
      <w:r>
        <w:rPr>
          <w:rFonts w:ascii="Arial" w:cs="Arial" w:eastAsia="Arial" w:hAnsi="Arial"/>
          <w:sz w:val="22"/>
          <w:szCs w:val="22"/>
        </w:rPr>
        <w:t xml:space="preserve"> — email, SMS, social posting, campaign automation.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SpotOn Loyalty</w:t>
      </w:r>
      <w:r>
        <w:rPr>
          <w:rFonts w:ascii="Arial" w:cs="Arial" w:eastAsia="Arial" w:hAnsi="Arial"/>
          <w:sz w:val="22"/>
          <w:szCs w:val="22"/>
        </w:rPr>
        <w:t xml:space="preserve"> — points-based loyalty + digital gift cards.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SpotOn Order</w:t>
      </w:r>
      <w:r>
        <w:rPr>
          <w:rFonts w:ascii="Arial" w:cs="Arial" w:eastAsia="Arial" w:hAnsi="Arial"/>
          <w:sz w:val="22"/>
          <w:szCs w:val="22"/>
        </w:rPr>
        <w:t xml:space="preserve"> — commission-free online ordering and QR-table ordering.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SpotOn Teamwork</w:t>
      </w:r>
      <w:r>
        <w:rPr>
          <w:rFonts w:ascii="Arial" w:cs="Arial" w:eastAsia="Arial" w:hAnsi="Arial"/>
          <w:sz w:val="22"/>
          <w:szCs w:val="22"/>
        </w:rPr>
        <w:t xml:space="preserve"> — labor scheduling, tip pooling, payroll integration.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SpotOn Capital</w:t>
      </w:r>
      <w:r>
        <w:rPr>
          <w:rFonts w:ascii="Arial" w:cs="Arial" w:eastAsia="Arial" w:hAnsi="Arial"/>
          <w:sz w:val="22"/>
          <w:szCs w:val="22"/>
        </w:rPr>
        <w:t xml:space="preserve"> — merchant cash advances against future payments volume.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SpotOn AI Assist (2025)</w:t>
      </w:r>
      <w:r>
        <w:rPr>
          <w:rFonts w:ascii="Arial" w:cs="Arial" w:eastAsia="Arial" w:hAnsi="Arial"/>
          <w:sz w:val="22"/>
          <w:szCs w:val="22"/>
        </w:rPr>
        <w:t xml:space="preserve"> — front-of-house conversational AI, menu Q&amp;A, allergen info.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What They Do Better Than Most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field rep model:</w:t>
      </w:r>
      <w:r>
        <w:rPr>
          <w:rFonts w:ascii="Arial" w:cs="Arial" w:eastAsia="Arial" w:hAnsi="Arial"/>
          <w:sz w:val="22"/>
          <w:szCs w:val="22"/>
        </w:rPr>
        <w:t xml:space="preserve"> named human point of contact for every customer; differentiated against Toast (regional CSMs) and Square (zero touch). Drives meaningfully lower churn at the SMB FSR tier.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Reservation + POS unification:</w:t>
      </w:r>
      <w:r>
        <w:rPr>
          <w:rFonts w:ascii="Arial" w:cs="Arial" w:eastAsia="Arial" w:hAnsi="Arial"/>
          <w:sz w:val="22"/>
          <w:szCs w:val="22"/>
        </w:rPr>
        <w:t xml:space="preserve"> the SpotOn Reserve integration is genuinely seamless and is hard to replicate without acquisition (which is why competitors partner with OpenTable/Resy).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Hospitality UX polish:</w:t>
      </w:r>
      <w:r>
        <w:rPr>
          <w:rFonts w:ascii="Arial" w:cs="Arial" w:eastAsia="Arial" w:hAnsi="Arial"/>
          <w:sz w:val="22"/>
          <w:szCs w:val="22"/>
        </w:rPr>
        <w:t xml:space="preserve"> handheld and table-management workflows are demonstrably tighter than Toast for FSR. Multiple G2/Capterra comparison reviews call this 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Multi-product attach in single contract:</w:t>
      </w:r>
      <w:r>
        <w:rPr>
          <w:rFonts w:ascii="Arial" w:cs="Arial" w:eastAsia="Arial" w:hAnsi="Arial"/>
          <w:sz w:val="22"/>
          <w:szCs w:val="22"/>
        </w:rPr>
        <w:t xml:space="preserve"> loyalty + marketing + payments + POS are sold as one bundle, simplifying SMB procurement.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 Where They Are Weak (Opportunity for PAR)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Multi-tenant / franchise architecture:</w:t>
      </w:r>
      <w:r>
        <w:rPr>
          <w:rFonts w:ascii="Arial" w:cs="Arial" w:eastAsia="Arial" w:hAnsi="Arial"/>
          <w:sz w:val="22"/>
          <w:szCs w:val="22"/>
        </w:rPr>
        <w:t xml:space="preserve"> SpotOn's data model and back-office are designed for owner-operator, not franchisor/franchisee. PAR Brink's franchise-aware architecture remains a wide moat at 50+ unit chains.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 integrations:</w:t>
      </w:r>
      <w:r>
        <w:rPr>
          <w:rFonts w:ascii="Arial" w:cs="Arial" w:eastAsia="Arial" w:hAnsi="Arial"/>
          <w:sz w:val="22"/>
          <w:szCs w:val="22"/>
        </w:rPr>
        <w:t xml:space="preserve"> limited ERP, supply chain, and corporate HRIS integration depth. No comparable to PAR's Data Central back-office.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International capability:</w:t>
      </w:r>
      <w:r>
        <w:rPr>
          <w:rFonts w:ascii="Arial" w:cs="Arial" w:eastAsia="Arial" w:hAnsi="Arial"/>
          <w:sz w:val="22"/>
          <w:szCs w:val="22"/>
        </w:rPr>
        <w:t xml:space="preserve"> U.S.-only. Multi-currency, multi-language, and global tax engines are absent.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Drive-thru / QSR-specific tooling:</w:t>
      </w:r>
      <w:r>
        <w:rPr>
          <w:rFonts w:ascii="Arial" w:cs="Arial" w:eastAsia="Arial" w:hAnsi="Arial"/>
          <w:sz w:val="22"/>
          <w:szCs w:val="22"/>
        </w:rPr>
        <w:t xml:space="preserve"> no native order-confirmation board, no drive-thru AI voice, no fryer/timer integrations. PAR's drive-thru voice partnerships and QSR specialization win here.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developer platform:</w:t>
      </w:r>
      <w:r>
        <w:rPr>
          <w:rFonts w:ascii="Arial" w:cs="Arial" w:eastAsia="Arial" w:hAnsi="Arial"/>
          <w:sz w:val="22"/>
          <w:szCs w:val="22"/>
        </w:rPr>
        <w:t xml:space="preserve"> more closed than Toast or Square; fewer third-party integrations available via marketplace. Limits enterprise extensibility.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 Pricing Posture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SpotOn lists POS hardware bundles starting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$0 down</w:t>
      </w:r>
      <w:r>
        <w:rPr>
          <w:rFonts w:ascii="Arial" w:cs="Arial" w:eastAsia="Arial" w:hAnsi="Arial"/>
          <w:sz w:val="22"/>
          <w:szCs w:val="22"/>
        </w:rPr>
        <w:t xml:space="preserve"> with software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$135–$195/month per terminal</w:t>
      </w:r>
      <w:r>
        <w:rPr>
          <w:rFonts w:ascii="Arial" w:cs="Arial" w:eastAsia="Arial" w:hAnsi="Arial"/>
          <w:sz w:val="22"/>
          <w:szCs w:val="22"/>
        </w:rPr>
        <w:t xml:space="preserve"> plus payment processing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interchange + 0.30% + $0.10</w:t>
      </w:r>
      <w:r>
        <w:rPr>
          <w:rFonts w:ascii="Arial" w:cs="Arial" w:eastAsia="Arial" w:hAnsi="Arial"/>
          <w:sz w:val="22"/>
          <w:szCs w:val="22"/>
        </w:rPr>
        <w:t xml:space="preserve"> (typical for negotiated SMB accounts; published rates are higher). They are visibly more aggressive than Toast on payments rate negotiation, and slightly less aggressive on software discounting. Multi-year contracts with early-termination fees are standard — a customer-experience friction point that surfaces in Reddit/G2 reviews.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6. SWOT Analysis</w:t>
      </w:r>
    </w:p>
    <w:p>
      <w:pPr>
        <w:spacing w:after="140" w:line="300"/>
      </w:pPr>
      <w:r>
        <w:rPr>
          <w:rFonts w:ascii="Arial" w:cs="Arial" w:eastAsia="Arial" w:hAnsi="Arial"/>
          <w:i/>
          <w:iCs/>
          <w:color w:val="555E7E"/>
          <w:sz w:val="22"/>
          <w:szCs w:val="22"/>
        </w:rPr>
        <w:t xml:space="preserve">PAR-relevant SWOT framing — emphasis on signals that should affect PAR's competitive posture in mid-market FSR and adjacent segments.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EAF6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8A4C"/>
                <w:sz w:val="22"/>
                <w:szCs w:val="22"/>
              </w:rPr>
              <w:t xml:space="preserve">Strengths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$928M raised; well-capitalized for ongoing R&amp;D and field expansion.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Differentiated local-rep go-to-market with measurable churn impact.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Strong full-service hospitality product depth — reservations, handhelds, KDS.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Integrated payments-attached model drives high LTV per merchant.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Recent AI launches keep them in the conversation vs. Toast Sous Chef.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Brand recognition in independent FSR community.</w:t>
            </w:r>
          </w:p>
        </w:tc>
        <w:tc>
          <w:tcPr>
            <w:tcW w:type="dxa" w:w="468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CEDE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3A2B"/>
                <w:sz w:val="22"/>
                <w:szCs w:val="22"/>
              </w:rPr>
              <w:t xml:space="preserve">Weaknesses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Valuation cut from $3.6B to $3.15B; pre-IPO scrutiny intensifying.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Field sales is high-cost; profitability path remains unproven.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Limited enterprise / Tier-1 chain reference accounts (S&amp;E divested).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U.S.-only — no international expansion lever for growth narrative.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Closed developer ecosystem; fewer third-party apps than Toast.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Customer reviews highlight aggressive contracts and ETF friction.</w:t>
            </w:r>
          </w:p>
        </w:tc>
      </w:tr>
      <w:tr>
        <w:tc>
          <w:tcPr>
            <w:tcW w:type="dxa" w:w="468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4F4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864D1"/>
                <w:sz w:val="22"/>
                <w:szCs w:val="22"/>
              </w:rPr>
              <w:t xml:space="preserve">Opportunities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IPO window in 2026–27 could refuel growth capital.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AI agent layer over restaurant ops is a greenfield with low incumbent moat.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Mid-market chain expansion (50–200 units) — if they build franchise tooling.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Adjacent verticals: hotel F&amp;B, country clubs, breweries.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Embedded fintech: SpotOn Capital (lending) is high-margin upsell.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Acquisition target for a payments giant (Block, Stripe, Fiserv) seeking restaurant vertical.</w:t>
            </w:r>
          </w:p>
        </w:tc>
        <w:tc>
          <w:tcPr>
            <w:tcW w:type="dxa" w:w="468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BF3D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8861B"/>
                <w:sz w:val="22"/>
                <w:szCs w:val="22"/>
              </w:rPr>
              <w:t xml:space="preserve">Threats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Toast continues to compress SMB FSR pricing; SpotOn's premium narrative gets harder.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Square Restaurants is improving rapidly with deep distribution.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PAR Brink + Punchh + Stuzo + Data Central is a stronger enterprise stack at the segment seam.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Olo's restaurant data platform (Olo Engage) overlaps loyalty/marketing positioning.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Macro: SMB restaurant closures during a downturn directly hit SpotOn revenue.</w:t>
            </w:r>
          </w:p>
          <w:p>
            <w:pPr>
              <w:spacing w:after="8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Payments rate compression as Stripe/Adyen push into restaurant.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7. Key News &amp; Strategic Implications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The following items are the most consequential SpotOn developments tracked over the last 12–18 months. Each is paired with a PAR-specific takeaway. The Competitive Intelligence Monitor's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News &amp; Developments</w:t>
      </w:r>
      <w:r>
        <w:rPr>
          <w:rFonts w:ascii="Arial" w:cs="Arial" w:eastAsia="Arial" w:hAnsi="Arial"/>
          <w:sz w:val="22"/>
          <w:szCs w:val="22"/>
        </w:rPr>
        <w:t xml:space="preserve"> tab continues to refresh these in real time; this section is a curated narrative layer on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6864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6864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 &amp; Source</w:t>
            </w:r>
          </w:p>
        </w:tc>
        <w:tc>
          <w:tcPr>
            <w:tcW w:type="dxa" w:w="33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6864D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Takeaway / Implication</w:t>
            </w:r>
          </w:p>
        </w:tc>
      </w:tr>
      <w:tr>
        <w:tc>
          <w:tcPr>
            <w:tcW w:type="dxa" w:w="1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AFBFE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Mar 2024</w:t>
            </w:r>
          </w:p>
        </w:tc>
        <w:tc>
          <w:tcPr>
            <w:tcW w:type="dxa" w:w="4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SpotOn raises $66M growth round at $3.15B valuation (Dragoneer lead)</w:t>
            </w:r>
          </w:p>
          <w:p>
            <w:hyperlink w:history="1" r:id="rIdzggiucwgjatknaa_g1tmm">
              <w:r>
                <w:rPr>
                  <w:rFonts w:ascii="Arial" w:cs="Arial" w:eastAsia="Arial" w:hAnsi="Arial"/>
                  <w:color w:val="6864D1"/>
                  <w:sz w:val="17"/>
                  <w:szCs w:val="17"/>
                  <w:u w:val="single"/>
                </w:rPr>
                <w:t xml:space="preserve">TechCrunch — SpotOn's $3.15B raise marks a 12% valuation cut</w:t>
              </w:r>
            </w:hyperlink>
          </w:p>
        </w:tc>
        <w:tc>
          <w:tcPr>
            <w:tcW w:type="dxa" w:w="33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B8861B"/>
                <w:sz w:val="18"/>
                <w:szCs w:val="18"/>
              </w:rPr>
              <w:t xml:space="preserve">PAR Takeaway: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Down round signals capital tightening even for late-stage restaurant tech. Confirms SpotOn is preparing IPO runway. PAR sales should expect more aggressive discounting in head-to-head deals.</w:t>
            </w:r>
          </w:p>
        </w:tc>
      </w:tr>
      <w:tr>
        <w:tc>
          <w:tcPr>
            <w:tcW w:type="dxa" w:w="1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AFBFE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Aug 2024</w:t>
            </w:r>
          </w:p>
        </w:tc>
        <w:tc>
          <w:tcPr>
            <w:tcW w:type="dxa" w:w="4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SpotOn divests Sports &amp; Entertainment business to NeoLeap-backed entity</w:t>
            </w:r>
          </w:p>
          <w:p>
            <w:hyperlink w:history="1" r:id="rIdwqm6x_ekr97rojtmnuvdu">
              <w:r>
                <w:rPr>
                  <w:rFonts w:ascii="Arial" w:cs="Arial" w:eastAsia="Arial" w:hAnsi="Arial"/>
                  <w:color w:val="6864D1"/>
                  <w:sz w:val="17"/>
                  <w:szCs w:val="17"/>
                  <w:u w:val="single"/>
                </w:rPr>
                <w:t xml:space="preserve">Restaurant Dive — SpotOn refocuses on core restaurants, exits venues</w:t>
              </w:r>
            </w:hyperlink>
          </w:p>
        </w:tc>
        <w:tc>
          <w:tcPr>
            <w:tcW w:type="dxa" w:w="33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B8861B"/>
                <w:sz w:val="18"/>
                <w:szCs w:val="18"/>
              </w:rPr>
              <w:t xml:space="preserve">PAR Takeaway: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Major strategic narrowing. Removes SpotOn from the stadium/venue category. The bigger story: SpotOn is conceding the enterprise hospitality segment, which is exactly where PAR wins.</w:t>
            </w:r>
          </w:p>
        </w:tc>
      </w:tr>
      <w:tr>
        <w:tc>
          <w:tcPr>
            <w:tcW w:type="dxa" w:w="1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AFBFE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Nov 2024</w:t>
            </w:r>
          </w:p>
        </w:tc>
        <w:tc>
          <w:tcPr>
            <w:tcW w:type="dxa" w:w="4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SpotOn hires Sandeep Bhanote (ex-DocuSign) as CFO</w:t>
            </w:r>
          </w:p>
          <w:p>
            <w:hyperlink w:history="1" r:id="rIdjxqpdjruyyosqsraofmwf">
              <w:r>
                <w:rPr>
                  <w:rFonts w:ascii="Arial" w:cs="Arial" w:eastAsia="Arial" w:hAnsi="Arial"/>
                  <w:color w:val="6864D1"/>
                  <w:sz w:val="17"/>
                  <w:szCs w:val="17"/>
                  <w:u w:val="single"/>
                </w:rPr>
                <w:t xml:space="preserve">Restaurant Business Online — SpotOn brings on IPO-experienced CFO</w:t>
              </w:r>
            </w:hyperlink>
          </w:p>
        </w:tc>
        <w:tc>
          <w:tcPr>
            <w:tcW w:type="dxa" w:w="33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B8861B"/>
                <w:sz w:val="18"/>
                <w:szCs w:val="18"/>
              </w:rPr>
              <w:t xml:space="preserve">PAR Takeaway: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Bhanote led DocuSign through public-company maturity. Hire is widely read as IPO-track. Implication: expect 2026–27 S-1 filing; SpotOn will need clean GAAP financials and likely deprecate non-strategic SKUs in the next 6–12 months. Window for PAR to consolidate before a refunded competitor emerges.</w:t>
            </w:r>
          </w:p>
        </w:tc>
      </w:tr>
      <w:tr>
        <w:tc>
          <w:tcPr>
            <w:tcW w:type="dxa" w:w="1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AFBFE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Mar 2025</w:t>
            </w:r>
          </w:p>
        </w:tc>
        <w:tc>
          <w:tcPr>
            <w:tcW w:type="dxa" w:w="4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SpotOn launches AI Assist — front-of-house conversational AI</w:t>
            </w:r>
          </w:p>
          <w:p>
            <w:hyperlink w:history="1" r:id="rIdtxb4l1jitkawohjctdxv3">
              <w:r>
                <w:rPr>
                  <w:rFonts w:ascii="Arial" w:cs="Arial" w:eastAsia="Arial" w:hAnsi="Arial"/>
                  <w:color w:val="6864D1"/>
                  <w:sz w:val="17"/>
                  <w:szCs w:val="17"/>
                  <w:u w:val="single"/>
                </w:rPr>
                <w:t xml:space="preserve">Hospitality Tech — SpotOn AI Assist takes on Toast Sous Chef</w:t>
              </w:r>
            </w:hyperlink>
          </w:p>
        </w:tc>
        <w:tc>
          <w:tcPr>
            <w:tcW w:type="dxa" w:w="33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B8861B"/>
                <w:sz w:val="18"/>
                <w:szCs w:val="18"/>
              </w:rPr>
              <w:t xml:space="preserve">PAR Takeaway: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Late entry into the AI agent race. Capabilities trail Toast Sous Chef (released 2024) and Olo's Engage AI. PAR should accelerate AI roadmap messaging — particularly around how PAR's data platform feeds richer signal than SpotOn's narrower POS dataset.</w:t>
            </w:r>
          </w:p>
        </w:tc>
      </w:tr>
      <w:tr>
        <w:tc>
          <w:tcPr>
            <w:tcW w:type="dxa" w:w="1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AFBFE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Jul 2025</w:t>
            </w:r>
          </w:p>
        </w:tc>
        <w:tc>
          <w:tcPr>
            <w:tcW w:type="dxa" w:w="4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SpotOn announces 50-state availability of integrated payroll via Gusto partnership</w:t>
            </w:r>
          </w:p>
          <w:p>
            <w:hyperlink w:history="1" r:id="rIdukcri6t8simcorj5rzy2u">
              <w:r>
                <w:rPr>
                  <w:rFonts w:ascii="Arial" w:cs="Arial" w:eastAsia="Arial" w:hAnsi="Arial"/>
                  <w:color w:val="6864D1"/>
                  <w:sz w:val="17"/>
                  <w:szCs w:val="17"/>
                  <w:u w:val="single"/>
                </w:rPr>
                <w:t xml:space="preserve">Restaurant Technology News — SpotOn-Gusto payroll rollout closes labor gap</w:t>
              </w:r>
            </w:hyperlink>
          </w:p>
        </w:tc>
        <w:tc>
          <w:tcPr>
            <w:tcW w:type="dxa" w:w="33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B8861B"/>
                <w:sz w:val="18"/>
                <w:szCs w:val="18"/>
              </w:rPr>
              <w:t xml:space="preserve">PAR Takeaway: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Closes a meaningful gap vs. Toast (which has native Toast Payroll). SpotOn now has parity on the labor-management side of the bundle. PAR's response: emphasize Data Central's deeper labor analytics + integrations with enterprise HRIS rather than competing on point-solution payroll.</w:t>
            </w:r>
          </w:p>
        </w:tc>
      </w:tr>
      <w:tr>
        <w:tc>
          <w:tcPr>
            <w:tcW w:type="dxa" w:w="1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AFBFE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Sep 2025</w:t>
            </w:r>
          </w:p>
        </w:tc>
        <w:tc>
          <w:tcPr>
            <w:tcW w:type="dxa" w:w="4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SpotOn surveys reveal 40% of independent restaurants are evaluating POS switches in 2026</w:t>
            </w:r>
          </w:p>
          <w:p>
            <w:hyperlink w:history="1" r:id="rIdw1f658fzchqmpkf4bkb5y">
              <w:r>
                <w:rPr>
                  <w:rFonts w:ascii="Arial" w:cs="Arial" w:eastAsia="Arial" w:hAnsi="Arial"/>
                  <w:color w:val="6864D1"/>
                  <w:sz w:val="17"/>
                  <w:szCs w:val="17"/>
                  <w:u w:val="single"/>
                </w:rPr>
                <w:t xml:space="preserve">Nation's Restaurant News — SpotOn report: POS churn cycle accelerating</w:t>
              </w:r>
            </w:hyperlink>
          </w:p>
        </w:tc>
        <w:tc>
          <w:tcPr>
            <w:tcW w:type="dxa" w:w="33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B8861B"/>
                <w:sz w:val="18"/>
                <w:szCs w:val="18"/>
              </w:rPr>
              <w:t xml:space="preserve">PAR Takeaway: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Self-published research, but useful directional data. Implication: 2026 is likely a record migration year. PAR should ensure SMB displacement plays (especially around Brink Lite or partner-distributed Brink) are well-staffed and discoverable in the same search journeys SpotOn captures.</w:t>
            </w:r>
          </w:p>
        </w:tc>
      </w:tr>
      <w:tr>
        <w:tc>
          <w:tcPr>
            <w:tcW w:type="dxa" w:w="1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AFBFE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Jan 2026</w:t>
            </w:r>
          </w:p>
        </w:tc>
        <w:tc>
          <w:tcPr>
            <w:tcW w:type="dxa" w:w="4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SpotOn quietly raises POS subscription pricing 12–18% on renewing customers</w:t>
            </w:r>
          </w:p>
          <w:p>
            <w:hyperlink w:history="1" r:id="rIddgwbvamotj3wg0cisprio">
              <w:r>
                <w:rPr>
                  <w:rFonts w:ascii="Arial" w:cs="Arial" w:eastAsia="Arial" w:hAnsi="Arial"/>
                  <w:color w:val="6864D1"/>
                  <w:sz w:val="17"/>
                  <w:szCs w:val="17"/>
                  <w:u w:val="single"/>
                </w:rPr>
                <w:t xml:space="preserve">Reddit r/restaurantowners + Capterra reviews (April 2026 trend)</w:t>
              </w:r>
            </w:hyperlink>
          </w:p>
        </w:tc>
        <w:tc>
          <w:tcPr>
            <w:tcW w:type="dxa" w:w="33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B8861B"/>
                <w:sz w:val="18"/>
                <w:szCs w:val="18"/>
              </w:rPr>
              <w:t xml:space="preserve">PAR Takeaway: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Not a press release — surfaced via customer review aggregation. Suggests SpotOn is leaning into existing-base monetization to improve unit economics ahead of an IPO. Real opportunity: PAR partners (POS resellers and payment ISOs) should target SpotOn renewal-pricing-shock customers in Q2–Q3 2026.</w:t>
            </w:r>
          </w:p>
        </w:tc>
      </w:tr>
      <w:tr>
        <w:tc>
          <w:tcPr>
            <w:tcW w:type="dxa" w:w="1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shd w:fill="FAFBFE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F3452"/>
                <w:sz w:val="18"/>
                <w:szCs w:val="18"/>
              </w:rPr>
              <w:t xml:space="preserve">Apr 2026</w:t>
            </w:r>
          </w:p>
        </w:tc>
        <w:tc>
          <w:tcPr>
            <w:tcW w:type="dxa" w:w="450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SpotOn featured in Andreessen Horowitz "Restaurants of the Future" report alongside Toast and Square</w:t>
            </w:r>
          </w:p>
          <w:p>
            <w:hyperlink w:history="1" r:id="rIdimvk9m3238dkthus6ic_k">
              <w:r>
                <w:rPr>
                  <w:rFonts w:ascii="Arial" w:cs="Arial" w:eastAsia="Arial" w:hAnsi="Arial"/>
                  <w:color w:val="6864D1"/>
                  <w:sz w:val="17"/>
                  <w:szCs w:val="17"/>
                  <w:u w:val="single"/>
                </w:rPr>
                <w:t xml:space="preserve">a16z portfolio update — The vertical software thesis in restaurants</w:t>
              </w:r>
            </w:hyperlink>
          </w:p>
        </w:tc>
        <w:tc>
          <w:tcPr>
            <w:tcW w:type="dxa" w:w="3360"/>
            <w:tcBorders>
              <w:top w:val="single" w:color="DDE0EC" w:sz="4"/>
              <w:left w:val="single" w:color="DDE0EC" w:sz="4"/>
              <w:bottom w:val="single" w:color="DDE0EC" w:sz="4"/>
              <w:right w:val="single" w:color="DDE0E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B8861B"/>
                <w:sz w:val="18"/>
                <w:szCs w:val="18"/>
              </w:rPr>
              <w:t xml:space="preserve">PAR Takeaway: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Reaffirms a16z commitment to SpotOn as portfolio anchor in the segment. a16z's broader endorsement signals continued patient capital, but also reveals their thesis (vertical SaaS + payments + AI) which PAR's own narrative should differentiate against — emphasizing enterprise-grade architecture and data breadth as the next frontier.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8. PAR Competitive Playbook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8.1 Where to Engage Aggressively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Mid-market regional chains (50–200 units):</w:t>
      </w:r>
      <w:r>
        <w:rPr>
          <w:rFonts w:ascii="Arial" w:cs="Arial" w:eastAsia="Arial" w:hAnsi="Arial"/>
          <w:sz w:val="22"/>
          <w:szCs w:val="22"/>
        </w:rPr>
        <w:t xml:space="preserve"> This is the segment seam. Lead with multi-tenant architecture, franchise tooling, and integration depth (Punchh, Stuzo, Data Central). SpotOn lacks reference accounts here.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Drive-thru and high-throughput QSR:</w:t>
      </w:r>
      <w:r>
        <w:rPr>
          <w:rFonts w:ascii="Arial" w:cs="Arial" w:eastAsia="Arial" w:hAnsi="Arial"/>
          <w:sz w:val="22"/>
          <w:szCs w:val="22"/>
        </w:rPr>
        <w:t xml:space="preserve"> SpotOn has no relevant SKU. Lead with PAR's drive-thru AI partnerships and order-confirmation expertise.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Loyalty-led RFPs:</w:t>
      </w:r>
      <w:r>
        <w:rPr>
          <w:rFonts w:ascii="Arial" w:cs="Arial" w:eastAsia="Arial" w:hAnsi="Arial"/>
          <w:sz w:val="22"/>
          <w:szCs w:val="22"/>
        </w:rPr>
        <w:t xml:space="preserve"> Punchh's depth in offers, segments, and POS-coupled loyalty is structurally ahead of SpotOn Loyalty's points-only model.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 data / BI:</w:t>
      </w:r>
      <w:r>
        <w:rPr>
          <w:rFonts w:ascii="Arial" w:cs="Arial" w:eastAsia="Arial" w:hAnsi="Arial"/>
          <w:sz w:val="22"/>
          <w:szCs w:val="22"/>
        </w:rPr>
        <w:t xml:space="preserve"> SpotOn has no Data Central equivalent. When the buyer asks about cross-location analytics or external system integration, this is a clean PAR advantage.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8.2 Where to Avoid Direct Confrontation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Sub-5-unit independent FSR:</w:t>
      </w:r>
      <w:r>
        <w:rPr>
          <w:rFonts w:ascii="Arial" w:cs="Arial" w:eastAsia="Arial" w:hAnsi="Arial"/>
          <w:sz w:val="22"/>
          <w:szCs w:val="22"/>
        </w:rPr>
        <w:t xml:space="preserve"> SpotOn's local-rep model + payments-attached pricing makes them very hard to displace below this size. PAR's economics don't favor this segment.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Restaurant-only "all-in-one" pitches at SMB:</w:t>
      </w:r>
      <w:r>
        <w:rPr>
          <w:rFonts w:ascii="Arial" w:cs="Arial" w:eastAsia="Arial" w:hAnsi="Arial"/>
          <w:sz w:val="22"/>
          <w:szCs w:val="22"/>
        </w:rPr>
        <w:t xml:space="preserve"> Toast wins more often here than PAR; competing directly on Toast/SpotOn's terms erodes PAR margin without strategic upside.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8.3 Signals to Watch in the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Hiring patterns on LinkedIn: enterprise sales hires would signal SpotOn's intent to push upmarket — direct PAR threat.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S-1 filing window: any IPO filing dramatically changes negotiating leverage and pricing posture.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New AI / agent product launches: catch within 24h via the Product Updates tab.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Pricing changes (especially payment processing rates): surfaced via Capterra/G2 review trends and partner channel chatter.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M&amp;A rumors: SpotOn as either buyer (consolidating loyalty/marketing) or seller (rumored Block/Fiserv interest) is a watershed event.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8.4 Concrete Actions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1:</w:t>
      </w:r>
      <w:r>
        <w:rPr>
          <w:rFonts w:ascii="Arial" w:cs="Arial" w:eastAsia="Arial" w:hAnsi="Arial"/>
          <w:sz w:val="22"/>
          <w:szCs w:val="22"/>
        </w:rPr>
        <w:t xml:space="preserve"> Build a SpotOn-displacement playbook for the partner channel — focus on the renewal-pricing-shock cohort identified in the January 2026 trend.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2:</w:t>
      </w:r>
      <w:r>
        <w:rPr>
          <w:rFonts w:ascii="Arial" w:cs="Arial" w:eastAsia="Arial" w:hAnsi="Arial"/>
          <w:sz w:val="22"/>
          <w:szCs w:val="22"/>
        </w:rPr>
        <w:t xml:space="preserve"> Add a "Why PAR vs. SpotOn" battlecard to the sales enablement library, anchored on franchise architecture, drive-thru, and Punchh loyalty depth.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3:</w:t>
      </w:r>
      <w:r>
        <w:rPr>
          <w:rFonts w:ascii="Arial" w:cs="Arial" w:eastAsia="Arial" w:hAnsi="Arial"/>
          <w:sz w:val="22"/>
          <w:szCs w:val="22"/>
        </w:rPr>
        <w:t xml:space="preserve"> Subscribe Sales Leadership and PMO to the SpotOn alert filter in the Competitive Intelligence Monitor — ensure 24-hour visibility on any AI/loyalty/IPO-related disclosure.</w:t>
      </w:r>
    </w:p>
    <w:p>
      <w:pPr>
        <w:spacing w:after="100" w:before="480"/>
      </w:pPr>
      <w:r>
        <w:rPr>
          <w:rFonts w:ascii="Arial" w:cs="Arial" w:eastAsia="Arial" w:hAnsi="Arial"/>
          <w:color w:val="8A93AE"/>
          <w:sz w:val="22"/>
          <w:szCs w:val="22"/>
        </w:rPr>
        <w:t xml:space="preserve">—</w:t>
      </w:r>
    </w:p>
    <w:p>
      <w:pPr>
        <w:spacing w:after="140" w:line="300"/>
      </w:pPr>
      <w:r>
        <w:rPr>
          <w:rFonts w:ascii="Arial" w:cs="Arial" w:eastAsia="Arial" w:hAnsi="Arial"/>
          <w:color w:val="8A93AE"/>
          <w:sz w:val="16"/>
          <w:szCs w:val="16"/>
        </w:rPr>
        <w:t xml:space="preserve">This teardown is a companion to the PAR Competitive Intelligence Monitor. Real-time data — news, product updates, financial signals, and AI-summarized strategic moves — is maintained at </w:t>
      </w:r>
      <w:hyperlink w:history="1" r:id="rId1jgm9vvbreustimbttohv">
        <w:r>
          <w:rPr>
            <w:rFonts w:ascii="Arial" w:cs="Arial" w:eastAsia="Arial" w:hAnsi="Arial"/>
            <w:color w:val="6864D1"/>
            <w:sz w:val="16"/>
            <w:szCs w:val="16"/>
            <w:u w:val="single"/>
          </w:rPr>
          <w:t xml:space="preserve">echou-par.github.io/par-comp-intel</w:t>
        </w:r>
      </w:hyperlink>
      <w:r>
        <w:rPr>
          <w:rFonts w:ascii="Arial" w:cs="Arial" w:eastAsia="Arial" w:hAnsi="Arial"/>
          <w:color w:val="8A93AE"/>
          <w:sz w:val="16"/>
          <w:szCs w:val="16"/>
        </w:rP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864D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F34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864D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ggiucwgjatknaa_g1tmm" Type="http://schemas.openxmlformats.org/officeDocument/2006/relationships/hyperlink" Target="https://techcrunch.com/2024/03/14/spoton-66m-funding/" TargetMode="External"/><Relationship Id="rIdwqm6x_ekr97rojtmnuvdu" Type="http://schemas.openxmlformats.org/officeDocument/2006/relationships/hyperlink" Target="https://www.restaurantdive.com/news/spoton-divests-sports-entertainment/" TargetMode="External"/><Relationship Id="rIdjxqpdjruyyosqsraofmwf" Type="http://schemas.openxmlformats.org/officeDocument/2006/relationships/hyperlink" Target="https://www.restaurantbusinessonline.com/technology/spoton-cfo-hire" TargetMode="External"/><Relationship Id="rIdtxb4l1jitkawohjctdxv3" Type="http://schemas.openxmlformats.org/officeDocument/2006/relationships/hyperlink" Target="https://hospitalitytech.com/spoton-ai-assist-launch" TargetMode="External"/><Relationship Id="rIdukcri6t8simcorj5rzy2u" Type="http://schemas.openxmlformats.org/officeDocument/2006/relationships/hyperlink" Target="https://restauranttechnologynews.com/spoton-gusto-payroll/" TargetMode="External"/><Relationship Id="rIdw1f658fzchqmpkf4bkb5y" Type="http://schemas.openxmlformats.org/officeDocument/2006/relationships/hyperlink" Target="https://www.nrn.com/technology/spoton-pos-churn-2026" TargetMode="External"/><Relationship Id="rIddgwbvamotj3wg0cisprio" Type="http://schemas.openxmlformats.org/officeDocument/2006/relationships/hyperlink" Target="https://www.capterra.com/p/spoton/reviews" TargetMode="External"/><Relationship Id="rIdimvk9m3238dkthus6ic_k" Type="http://schemas.openxmlformats.org/officeDocument/2006/relationships/hyperlink" Target="https://a16z.com/restaurants-of-the-future-2026/" TargetMode="External"/><Relationship Id="rId1jgm9vvbreustimbttohv" Type="http://schemas.openxmlformats.org/officeDocument/2006/relationships/hyperlink" Target="https://echou-par.github.io/par-comp-intel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SpotOn — Competitor Teardown</dc:title>
  <dc:creator>PAR Competitive Intelligence</dc:creator>
  <dc:description>Strategic deep-dive on SpotOn for the PAR Competitive Intelligence Monitor</dc:description>
  <cp:lastModifiedBy>Un-named</cp:lastModifiedBy>
  <cp:revision>1</cp:revision>
  <dcterms:created xsi:type="dcterms:W3CDTF">2026-04-27T21:15:57.759Z</dcterms:created>
  <dcterms:modified xsi:type="dcterms:W3CDTF">2026-04-27T21:15:57.759Z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