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在公司总部的DCBI上配置，设备部署方式为旁路模式，增加管理员账户dcn2018，密码dcn2018；</w:t>
      </w:r>
    </w:p>
    <w:p>
      <w:pPr>
        <w:pStyle w:val="CaptionedFigure"/>
      </w:pPr>
      <w:r>
        <w:drawing>
          <wp:inline>
            <wp:extent cx="5334000" cy="15641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02076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6363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02817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042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02967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2"/>
          <w:ilvl w:val="0"/>
        </w:numPr>
      </w:pPr>
      <w:r>
        <w:t xml:space="preserve">公司总部LAN中用户访问网页URL中带有“MP3”、“MKV” 、“RMVB”需要被DCBI记录；</w:t>
      </w:r>
    </w:p>
    <w:p>
      <w:pPr>
        <w:pStyle w:val="CaptionedFigure"/>
      </w:pPr>
      <w:r>
        <w:drawing>
          <wp:inline>
            <wp:extent cx="5334000" cy="38019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03341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0943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03671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03788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7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04312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0818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04396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numId w:val="1003"/>
          <w:ilvl w:val="0"/>
        </w:numPr>
      </w:pPr>
      <w:r>
        <w:t xml:space="preserve">添加内容规则，对于网站访问关键字包含“暴力”的，记录并邮件报警；</w:t>
      </w:r>
    </w:p>
    <w:p>
      <w:pPr>
        <w:pStyle w:val="CaptionedFigure"/>
      </w:pPr>
      <w:r>
        <w:drawing>
          <wp:inline>
            <wp:extent cx="5334000" cy="25070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07990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417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08079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2020-01-14T05:06:40Z</dcterms:created>
  <dcterms:modified xsi:type="dcterms:W3CDTF">2020-01-14T05:06:40Z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