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50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1</w:t>
      </w:r>
      <w:bookmarkEnd w:id="20"/>
    </w:p>
    <w:p>
      <w:pPr>
        <w:pStyle w:val="FirstParagraph"/>
      </w:pPr>
      <w:r>
        <w:t xml:space="preserve">在总公司的DCFW根据题意配置Trust,Untruct,VPNhub区域，并配置区域之间的放行策略；</w:t>
      </w:r>
    </w:p>
    <w:p>
      <w:pPr>
        <w:pStyle w:val="BodyText"/>
      </w:pPr>
      <w:r>
        <w:rPr>
          <w:b/>
        </w:rPr>
        <w:t xml:space="preserve">配置区域</w:t>
      </w:r>
    </w:p>
    <w:p>
      <w:pPr>
        <w:pStyle w:val="CaptionedFigure"/>
      </w:pPr>
      <w:r>
        <w:drawing>
          <wp:inline>
            <wp:extent cx="5334000" cy="18749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55838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8767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55668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180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83343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0416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83667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放行策略配置</w:t>
      </w:r>
      <w:r>
        <w:t xml:space="preserve"> </w:t>
      </w:r>
    </w:p>
    <w:p>
      <w:pPr>
        <w:pStyle w:val="BodyText"/>
      </w:pPr>
      <w:r>
        <w:rPr>
          <w:b/>
        </w:rPr>
        <w:t xml:space="preserve">内网和外网</w:t>
      </w:r>
    </w:p>
    <w:p>
      <w:pPr>
        <w:pStyle w:val="CaptionedFigure"/>
      </w:pPr>
      <w:r>
        <w:drawing>
          <wp:inline>
            <wp:extent cx="5334000" cy="33551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56973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74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57114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VPN与内网之间</w:t>
      </w:r>
    </w:p>
    <w:p>
      <w:pPr>
        <w:pStyle w:val="CaptionedFigure"/>
      </w:pPr>
      <w:r>
        <w:drawing>
          <wp:inline>
            <wp:extent cx="5334000" cy="33353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57495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3989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92065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6322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92465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21"/>
      <w:r>
        <w:t xml:space="preserve">2</w:t>
      </w:r>
      <w:bookmarkEnd w:id="30"/>
    </w:p>
    <w:p>
      <w:pPr>
        <w:pStyle w:val="FirstParagraph"/>
      </w:pPr>
      <w:r>
        <w:t xml:space="preserve">配置路由，通往internet的方向配置默认路由，使用下一跳IP为PC2,通往内部路由配置静态主类汇总路由；</w:t>
      </w:r>
    </w:p>
    <w:p>
      <w:pPr>
        <w:pStyle w:val="CaptionedFigure"/>
      </w:pPr>
      <w:r>
        <w:drawing>
          <wp:inline>
            <wp:extent cx="5334000" cy="31786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59310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内网路由：</w:t>
      </w:r>
    </w:p>
    <w:p>
      <w:pPr>
        <w:pStyle w:val="BodyText"/>
      </w:pPr>
      <w:r>
        <w:t xml:space="preserve">去日志服务器</w:t>
      </w:r>
    </w:p>
    <w:p>
      <w:pPr>
        <w:pStyle w:val="CaptionedFigure"/>
      </w:pPr>
      <w:r>
        <w:drawing>
          <wp:inline>
            <wp:extent cx="5334000" cy="31660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60252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去PC1</w:t>
      </w:r>
    </w:p>
    <w:p>
      <w:pPr>
        <w:pStyle w:val="CaptionedFigure"/>
      </w:pPr>
      <w:r>
        <w:drawing>
          <wp:inline>
            <wp:extent cx="5334000" cy="3195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61061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去PC3</w:t>
      </w:r>
    </w:p>
    <w:p>
      <w:pPr>
        <w:pStyle w:val="CaptionedFigure"/>
      </w:pPr>
      <w:r>
        <w:drawing>
          <wp:inline>
            <wp:extent cx="5334000" cy="31166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62584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去DCWS：</w:t>
      </w:r>
    </w:p>
    <w:p>
      <w:pPr>
        <w:pStyle w:val="CaptionedFigure"/>
      </w:pPr>
      <w:r>
        <w:drawing>
          <wp:inline>
            <wp:extent cx="5334000" cy="3156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62426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去WAF</w:t>
      </w:r>
    </w:p>
    <w:p>
      <w:pPr>
        <w:pStyle w:val="CaptionedFigure"/>
      </w:pPr>
      <w:r>
        <w:drawing>
          <wp:inline>
            <wp:extent cx="5334000" cy="3152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63452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5205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69069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8" w:name="header-n38"/>
      <w:r>
        <w:t xml:space="preserve">3</w:t>
      </w:r>
      <w:bookmarkEnd w:id="38"/>
    </w:p>
    <w:p>
      <w:pPr>
        <w:pStyle w:val="FirstParagraph"/>
      </w:pPr>
      <w:r>
        <w:t xml:space="preserve">配置动态NAT，对应关系如下：</w:t>
      </w:r>
      <w:r>
        <w:br/>
      </w:r>
      <w:r>
        <w:t xml:space="preserve">VLAN20用户映射为200.1.1.20；</w:t>
      </w:r>
      <w:r>
        <w:br/>
      </w:r>
      <w:r>
        <w:t xml:space="preserve">VLAN30用户映射为200.1.1.30；</w:t>
      </w:r>
    </w:p>
    <w:p>
      <w:pPr>
        <w:pStyle w:val="CaptionedFigure"/>
      </w:pPr>
      <w:r>
        <w:drawing>
          <wp:inline>
            <wp:extent cx="5334000" cy="17375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72367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736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72637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85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72734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42" w:name="header-n44"/>
      <w:r>
        <w:t xml:space="preserve">4</w:t>
      </w:r>
      <w:bookmarkEnd w:id="42"/>
    </w:p>
    <w:p>
      <w:pPr>
        <w:pStyle w:val="FirstParagraph"/>
      </w:pPr>
      <w:r>
        <w:t xml:space="preserve">DCFW连接Internet的区域上配置以下攻击防护：</w:t>
      </w:r>
      <w:r>
        <w:t xml:space="preserve"> </w:t>
      </w:r>
      <w:r>
        <w:br/>
      </w:r>
      <w:r>
        <w:t xml:space="preserve">启以下Flood防护：</w:t>
      </w:r>
      <w:r>
        <w:br/>
      </w:r>
      <w:r>
        <w:t xml:space="preserve">ICMP洪水攻击防护，警戒值2000，动作丢弃；</w:t>
      </w:r>
      <w:r>
        <w:br/>
      </w:r>
      <w:r>
        <w:t xml:space="preserve">UDP供水攻击防护，警戒值1500，动作丢弃；</w:t>
      </w:r>
      <w:r>
        <w:br/>
      </w:r>
      <w:r>
        <w:t xml:space="preserve">SYN洪水攻击防护，源警戒值5000，目的警戒值基于IP 2000，动作丢弃；</w:t>
      </w:r>
      <w:r>
        <w:br/>
      </w:r>
      <w:r>
        <w:t xml:space="preserve">开启以下DOS防护：</w:t>
      </w:r>
      <w:r>
        <w:br/>
      </w:r>
      <w:r>
        <w:t xml:space="preserve">Ping of Death攻击防护；</w:t>
      </w:r>
      <w:r>
        <w:br/>
      </w:r>
      <w:r>
        <w:t xml:space="preserve">Teardrop攻击防护；</w:t>
      </w:r>
      <w:r>
        <w:br/>
      </w:r>
      <w:r>
        <w:t xml:space="preserve">IP选项，动作丢弃；</w:t>
      </w:r>
      <w:r>
        <w:br/>
      </w:r>
      <w:r>
        <w:t xml:space="preserve">ICMP大包攻击防护，警戒值2048，动作丢弃；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5314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93123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404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93669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48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93850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46" w:name="header-n52"/>
      <w:r>
        <w:t xml:space="preserve">5</w:t>
      </w:r>
      <w:bookmarkEnd w:id="46"/>
    </w:p>
    <w:p>
      <w:pPr>
        <w:pStyle w:val="FirstParagraph"/>
      </w:pPr>
      <w:r>
        <w:t xml:space="preserve">总公司DCFW配置SSLVPN，建立用户dcn01，密码dcn01，要求连接Internet PC2可以拨入，服务端口为9998，SSLVPN地址池参见地址表；</w:t>
      </w:r>
      <w:r>
        <w:t xml:space="preserve"> </w:t>
      </w:r>
    </w:p>
    <w:p>
      <w:pPr>
        <w:pStyle w:val="BodyText"/>
      </w:pPr>
      <w:r>
        <w:t xml:space="preserve">建立用户：</w:t>
      </w:r>
    </w:p>
    <w:p>
      <w:pPr>
        <w:pStyle w:val="CaptionedFigure"/>
      </w:pPr>
      <w:r>
        <w:drawing>
          <wp:inline>
            <wp:extent cx="5334000" cy="43433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73995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SSL配置：</w:t>
      </w:r>
    </w:p>
    <w:p>
      <w:pPr>
        <w:pStyle w:val="CaptionedFigure"/>
      </w:pPr>
      <w:r>
        <w:drawing>
          <wp:inline>
            <wp:extent cx="5334000" cy="3693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74542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添加VPN地址池</w:t>
      </w:r>
    </w:p>
    <w:p>
      <w:pPr>
        <w:pStyle w:val="CaptionedFigure"/>
      </w:pPr>
      <w:r>
        <w:drawing>
          <wp:inline>
            <wp:extent cx="5334000" cy="3771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76175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691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9784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155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819797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2020-01-14T05:06:57Z</dcterms:created>
  <dcterms:modified xsi:type="dcterms:W3CDTF">2020-01-14T05:06:57Z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