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配置WAF为透明模式，按题意完成接口桥接；</w:t>
      </w:r>
    </w:p>
    <w:p>
      <w:pPr>
        <w:pStyle w:val="CaptionedFigure"/>
      </w:pPr>
      <w:r>
        <w:drawing>
          <wp:inline>
            <wp:extent cx="5334000" cy="1060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15059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1777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15303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7513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15205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numPr>
          <w:numId w:val="1002"/>
          <w:ilvl w:val="0"/>
        </w:numPr>
      </w:pPr>
      <w:r>
        <w:t xml:space="preserve">创建审计管理员帐户，用户名：dcn2018,密码：201810dcn</w:t>
      </w:r>
    </w:p>
    <w:p>
      <w:pPr>
        <w:pStyle w:val="CaptionedFigure"/>
      </w:pPr>
      <w:r>
        <w:drawing>
          <wp:inline>
            <wp:extent cx="5334000" cy="2715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15739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471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15825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numPr>
          <w:numId w:val="1003"/>
          <w:ilvl w:val="0"/>
        </w:numPr>
      </w:pPr>
      <w:r>
        <w:t xml:space="preserve">配置WAF当发现恶意扫描网站时，将HTTP重定向到http://www.dcn.com/alarm.html，警告攻击者；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7988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18311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numPr>
          <w:numId w:val="1004"/>
          <w:ilvl w:val="0"/>
        </w:numPr>
      </w:pPr>
      <w:r>
        <w:t xml:space="preserve">配置WAF防当IP请求数超过500个线程阻止该IP继续访问；</w:t>
      </w:r>
    </w:p>
    <w:p>
      <w:pPr>
        <w:pStyle w:val="CaptionedFigure"/>
      </w:pPr>
      <w:r>
        <w:drawing>
          <wp:inline>
            <wp:extent cx="5334000" cy="22012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21556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2020-01-14T05:07:08Z</dcterms:created>
  <dcterms:modified xsi:type="dcterms:W3CDTF">2020-01-14T05:07:08Z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