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Система email-уведомлений по обращениям</w:t>
      </w:r>
    </w:p>
    <w:p>
      <w:pPr>
        <w:jc w:val="center"/>
      </w:pPr>
      <w:r>
        <w:rPr>
          <w:color w:val="707070"/>
          <w:sz w:val="20"/>
        </w:rPr>
        <w:t>Описание работающего механизма (CTI / BPMSoft 1.9). Источники: анализ кода + документация BPMSoft v1.9</w:t>
      </w:r>
    </w:p>
    <w:p>
      <w:pPr>
        <w:jc w:val="center"/>
      </w:pPr>
      <w:r>
        <w:rPr>
          <w:color w:val="AAAAAA"/>
          <w:sz w:val="17"/>
        </w:rPr>
        <w:t>Дата: 14.04.2026  |  Архив прода: CTI от 2026-04-11</w:t>
      </w:r>
    </w:p>
    <w:p/>
    <w:p>
      <w:pPr>
        <w:pStyle w:val="Heading1"/>
      </w:pPr>
      <w:r>
        <w:rPr>
          <w:color w:val="1F3964"/>
        </w:rPr>
        <w:t>0. Кому отправляются уведомления — логика получателей</w:t>
      </w:r>
    </w:p>
    <w:p>
      <w:r>
        <w:rPr>
          <w:sz w:val="19"/>
        </w:rPr>
        <w:t>В обращении есть два разных контакта на стороне клиента:</w:t>
        <w:br/>
        <w:t xml:space="preserve">  • «Инициатор» — контакт, который зарегистрировал обращение (кто написал/позвонил)</w:t>
        <w:br/>
        <w:t xml:space="preserve">  • «Пользователь услуги» — контакт, для которого зарегистрировано обращение (кто фактически пострадал)</w:t>
        <w:br/>
        <w:br/>
        <w:t>Это могут быть разные люди. Например: секретарь (инициатор) подала обращение за директора (пользователь услуги).</w:t>
        <w:br/>
        <w:br/>
        <w:t>Контактное лицо (кому реально уйдёт письмо) определяется системными настройками: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40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Системная настройка</w:t>
            </w:r>
          </w:p>
        </w:tc>
        <w:tc>
          <w:tcPr>
            <w:tcW w:type="dxa" w:w="311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Код</w:t>
            </w:r>
          </w:p>
        </w:tc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По умолчанию</w:t>
            </w:r>
          </w:p>
        </w:tc>
        <w:tc>
          <w:tcPr>
            <w:tcW w:type="dxa" w:w="623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Что означает</w:t>
            </w:r>
          </w:p>
        </w:tc>
      </w:tr>
      <w:tr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Оповещение пользователя услуги как контактного лица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DefaultNotifyContactInCase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ВКЛЮЧЕНА</w:t>
            </w:r>
          </w:p>
        </w:tc>
        <w:tc>
          <w:tcPr>
            <w:tcW w:type="dxa" w:w="6236"/>
            <w:shd w:val="clear" w:color="auto" w:fill="EBF3FB"/>
          </w:tcPr>
          <w:p>
            <w:r>
              <w:rPr>
                <w:sz w:val="17"/>
              </w:rPr>
              <w:t>Письма клиенту уходят на «Пользователь услуги».</w:t>
              <w:br/>
              <w:t>По умолчанию это главный получатель.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Оповещение инициатора как контактного лица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DefaultNotifyInitiatorInCase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ВЫКЛЮЧЕНА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Письма клиенту уходят на «Инициатора».</w:t>
              <w:br/>
              <w:t>По умолчанию выключено — инициатор не получает.</w:t>
            </w:r>
          </w:p>
        </w:tc>
      </w:tr>
    </w:tbl>
    <w:p/>
    <w:p>
      <w:pPr>
        <w:ind w:left="283"/>
      </w:pPr>
      <w:r>
        <w:rPr>
          <w:b/>
          <w:color w:val="806000"/>
          <w:sz w:val="17"/>
        </w:rPr>
        <w:t xml:space="preserve">⚠ Примечание: </w:t>
      </w:r>
      <w:r>
        <w:rPr>
          <w:i/>
          <w:color w:val="606060"/>
          <w:sz w:val="17"/>
        </w:rPr>
        <w:t>Если обе настройки включены — письма уходят обоим. Если инициатор = пользователь услуги — кнопки выбора контактного лица на странице обращения не отображаются. На странице обращения инженер может вручную переключить контактное лицо (кнопки рядом с полями).</w:t>
        <w:br/>
        <w:t>Одна из настроек должна быть включена — иначе уведомления не будут отправляться никому.</w:t>
      </w:r>
    </w:p>
    <w:p>
      <w:pPr>
        <w:ind w:left="283"/>
      </w:pPr>
      <w:r>
        <w:rPr>
          <w:b/>
          <w:color w:val="806000"/>
          <w:sz w:val="17"/>
        </w:rPr>
        <w:t xml:space="preserve">⚠ Примечание: </w:t>
      </w:r>
      <w:r>
        <w:rPr>
          <w:i/>
          <w:color w:val="606060"/>
          <w:sz w:val="17"/>
        </w:rPr>
        <w:t>При регистрации обращения из входящего email: уведомление о регистрации получают ВСЕ адресаты исходного письма (кому/копия). Поле «От кого» = адрес почтового ящика службы поддержки, на который пришло письмо. Если обращение создано иначе (звонок, вручную) — «От кого» берётся из системной настройки «E-mail службы поддержки».</w:t>
      </w:r>
    </w:p>
    <w:p>
      <w:r>
        <w:br w:type="page"/>
      </w:r>
    </w:p>
    <w:p>
      <w:pPr>
        <w:pStyle w:val="Heading1"/>
      </w:pPr>
      <w:r>
        <w:rPr>
          <w:color w:val="1F3964"/>
        </w:rPr>
        <w:t>1. Уведомления в сторону Заказчика (клиента)</w:t>
      </w:r>
    </w:p>
    <w:p>
      <w:r>
        <w:rPr>
          <w:sz w:val="19"/>
        </w:rPr>
        <w:t>Все уведомления клиенту при смене статуса — через C#-класс SendEmailToCaseStatusChanged (feature-toggle SendEmailToCaseOnStatusChangeClass=1), который читает справочник CaseNotificationRule и подбирает шаблон по паре (статус + категория). Для каждого события есть ДВА шаблона: один для Пользователя услуги, другой для Инициатора. Исключение — регистрация: отдельный BPMN-процесс UsrProcess_send_reg_mail.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Событие</w:t>
            </w:r>
          </w:p>
        </w:tc>
        <w:tc>
          <w:tcPr>
            <w:tcW w:type="dxa" w:w="158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Получатель</w:t>
            </w:r>
          </w:p>
        </w:tc>
        <w:tc>
          <w:tcPr>
            <w:tcW w:type="dxa" w:w="368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Шаблон (Пользователь услуги)</w:t>
            </w:r>
          </w:p>
        </w:tc>
        <w:tc>
          <w:tcPr>
            <w:tcW w:type="dxa" w:w="368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Шаблон (Инициатор)</w:t>
            </w:r>
          </w:p>
        </w:tc>
        <w:tc>
          <w:tcPr>
            <w:tcW w:type="dxa" w:w="311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Механизм (системное имя)</w:t>
            </w:r>
          </w:p>
        </w:tc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Тип механизма</w:t>
            </w:r>
          </w:p>
        </w:tc>
      </w:tr>
      <w:tr>
        <w:tc>
          <w:tcPr>
            <w:tcW w:type="dxa" w:w="1814"/>
            <w:shd w:val="clear" w:color="auto" w:fill="EBF3FB"/>
          </w:tcPr>
          <w:p>
            <w:r>
              <w:rPr>
                <w:sz w:val="17"/>
              </w:rPr>
              <w:t>Регистрация обращения</w:t>
            </w:r>
          </w:p>
        </w:tc>
        <w:tc>
          <w:tcPr>
            <w:tcW w:type="dxa" w:w="1587"/>
            <w:shd w:val="clear" w:color="auto" w:fill="EBF3FB"/>
          </w:tcPr>
          <w:p>
            <w:r>
              <w:rPr>
                <w:sz w:val="17"/>
              </w:rPr>
              <w:t>Контактное лицо</w:t>
              <w:br/>
              <w:t>(по настройке)</w:t>
            </w:r>
          </w:p>
        </w:tc>
        <w:tc>
          <w:tcPr>
            <w:tcW w:type="dxa" w:w="3685"/>
            <w:shd w:val="clear" w:color="auto" w:fill="EBF3FB"/>
          </w:tcPr>
          <w:p>
            <w:r>
              <w:rPr>
                <w:sz w:val="17"/>
              </w:rPr>
              <w:t>Создание нового обращения из чата</w:t>
            </w:r>
          </w:p>
        </w:tc>
        <w:tc>
          <w:tcPr>
            <w:tcW w:type="dxa" w:w="3685"/>
            <w:shd w:val="clear" w:color="auto" w:fill="EBF3FB"/>
          </w:tcPr>
          <w:p>
            <w:r>
              <w:rPr>
                <w:sz w:val="17"/>
              </w:rPr>
              <w:t>— (отдельного нет)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UsrProcess_send_reg_mail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BPMN-процесс</w:t>
              <w:br/>
              <w:t>(CTI)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→ «В работе»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Контактное лицо</w:t>
              <w:br/>
              <w:t>(по настройке)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Сообщение о взятии обращения в работу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Сообщение о взятии обращения в работу (для инициатора)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SendEmailToCaseStatusChanged</w:t>
              <w:br/>
              <w:t>+ CaseNotificationRule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C#-класс (CaseService)</w:t>
              <w:br/>
              <w:t>+ справочник</w:t>
            </w:r>
          </w:p>
        </w:tc>
      </w:tr>
      <w:tr>
        <w:tc>
          <w:tcPr>
            <w:tcW w:type="dxa" w:w="1814"/>
            <w:shd w:val="clear" w:color="auto" w:fill="EBF3FB"/>
          </w:tcPr>
          <w:p>
            <w:r>
              <w:rPr>
                <w:sz w:val="17"/>
              </w:rPr>
              <w:t>Ответ инженера по обращению</w:t>
            </w:r>
          </w:p>
        </w:tc>
        <w:tc>
          <w:tcPr>
            <w:tcW w:type="dxa" w:w="1587"/>
            <w:shd w:val="clear" w:color="auto" w:fill="EBF3FB"/>
          </w:tcPr>
          <w:p>
            <w:r>
              <w:rPr>
                <w:sz w:val="17"/>
              </w:rPr>
              <w:t>Контактное лицо</w:t>
              <w:br/>
              <w:t>(по настройке)</w:t>
            </w:r>
          </w:p>
        </w:tc>
        <w:tc>
          <w:tcPr>
            <w:tcW w:type="dxa" w:w="3685"/>
            <w:shd w:val="clear" w:color="auto" w:fill="EBF3FB"/>
          </w:tcPr>
          <w:p>
            <w:r>
              <w:rPr>
                <w:sz w:val="17"/>
              </w:rPr>
              <w:t>Сообщение о получении нового ответа по обращению</w:t>
            </w:r>
          </w:p>
        </w:tc>
        <w:tc>
          <w:tcPr>
            <w:tcW w:type="dxa" w:w="3685"/>
            <w:shd w:val="clear" w:color="auto" w:fill="EBF3FB"/>
          </w:tcPr>
          <w:p>
            <w:r>
              <w:rPr>
                <w:sz w:val="17"/>
              </w:rPr>
              <w:t>Сообщение о получении нового ответа по обращению (для инициатора)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SendEmailToCaseStatusChanged</w:t>
              <w:br/>
              <w:t>+ CaseNotificationRule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C#-класс (CaseService)</w:t>
              <w:br/>
              <w:t>+ справочник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→ «Решено»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Контактное лицо</w:t>
              <w:br/>
              <w:t>(по настройке)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Сообщение о разрешении обращения</w:t>
              <w:br/>
              <w:t>ИЛИ</w:t>
              <w:br/>
              <w:t>Сообщение о разрешении — только с решением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Сообщение о разрешении обращения (для инициатора)</w:t>
              <w:br/>
              <w:t>ИЛИ</w:t>
              <w:br/>
              <w:t>Сообщение о разрешении — только с решением (для инициатора)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SendEmailToCaseStatusChanged</w:t>
              <w:br/>
              <w:t>+ CaseNotificationRule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C#-класс (CaseService)</w:t>
              <w:br/>
              <w:t>+ справочник</w:t>
            </w:r>
          </w:p>
        </w:tc>
      </w:tr>
      <w:tr>
        <w:tc>
          <w:tcPr>
            <w:tcW w:type="dxa" w:w="1814"/>
            <w:shd w:val="clear" w:color="auto" w:fill="EBF3FB"/>
          </w:tcPr>
          <w:p>
            <w:r>
              <w:rPr>
                <w:sz w:val="17"/>
              </w:rPr>
              <w:t>→ «Закрыто»</w:t>
            </w:r>
          </w:p>
        </w:tc>
        <w:tc>
          <w:tcPr>
            <w:tcW w:type="dxa" w:w="1587"/>
            <w:shd w:val="clear" w:color="auto" w:fill="EBF3FB"/>
          </w:tcPr>
          <w:p>
            <w:r>
              <w:rPr>
                <w:sz w:val="17"/>
              </w:rPr>
              <w:t>Контактное лицо</w:t>
              <w:br/>
              <w:t>(по настройке)</w:t>
            </w:r>
          </w:p>
        </w:tc>
        <w:tc>
          <w:tcPr>
            <w:tcW w:type="dxa" w:w="3685"/>
            <w:shd w:val="clear" w:color="auto" w:fill="EBF3FB"/>
          </w:tcPr>
          <w:p>
            <w:r>
              <w:rPr>
                <w:sz w:val="17"/>
              </w:rPr>
              <w:t>Сообщение о закрытии обращения</w:t>
            </w:r>
          </w:p>
        </w:tc>
        <w:tc>
          <w:tcPr>
            <w:tcW w:type="dxa" w:w="3685"/>
            <w:shd w:val="clear" w:color="auto" w:fill="EBF3FB"/>
          </w:tcPr>
          <w:p>
            <w:r>
              <w:rPr>
                <w:sz w:val="17"/>
              </w:rPr>
              <w:t>Сообщение о закрытии обращения (для инициатора)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SendEmailToCaseStatusChanged</w:t>
              <w:br/>
              <w:t>+ CaseNotificationRule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C#-класс (CaseService)</w:t>
              <w:br/>
              <w:t>+ справочник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Закрытие по таймеру</w:t>
              <w:br/>
              <w:t>(долго нет ответа)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Контактное лицо</w:t>
              <w:br/>
              <w:t>(по настройке)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Подтверждение закрытия обращения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Подтверждение закрытия обращения (для инициатора)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SendEmailToCaseStatusChanged</w:t>
              <w:br/>
              <w:t>+ CaseNotificationRule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C#-класс (CaseService)</w:t>
              <w:br/>
              <w:t>+ справочник</w:t>
            </w:r>
          </w:p>
        </w:tc>
      </w:tr>
      <w:tr>
        <w:tc>
          <w:tcPr>
            <w:tcW w:type="dxa" w:w="1814"/>
            <w:shd w:val="clear" w:color="auto" w:fill="EBF3FB"/>
          </w:tcPr>
          <w:p>
            <w:r>
              <w:rPr>
                <w:sz w:val="17"/>
              </w:rPr>
              <w:t>→ «Отменено»</w:t>
            </w:r>
          </w:p>
        </w:tc>
        <w:tc>
          <w:tcPr>
            <w:tcW w:type="dxa" w:w="1587"/>
            <w:shd w:val="clear" w:color="auto" w:fill="EBF3FB"/>
          </w:tcPr>
          <w:p>
            <w:r>
              <w:rPr>
                <w:sz w:val="17"/>
              </w:rPr>
              <w:t>Контактное лицо</w:t>
              <w:br/>
              <w:t>(по настройке)</w:t>
            </w:r>
          </w:p>
        </w:tc>
        <w:tc>
          <w:tcPr>
            <w:tcW w:type="dxa" w:w="3685"/>
            <w:shd w:val="clear" w:color="auto" w:fill="EBF3FB"/>
          </w:tcPr>
          <w:p>
            <w:r>
              <w:rPr>
                <w:sz w:val="17"/>
              </w:rPr>
              <w:t>Сообщение об отмене обращения</w:t>
            </w:r>
          </w:p>
        </w:tc>
        <w:tc>
          <w:tcPr>
            <w:tcW w:type="dxa" w:w="3685"/>
            <w:shd w:val="clear" w:color="auto" w:fill="EBF3FB"/>
          </w:tcPr>
          <w:p>
            <w:r>
              <w:rPr>
                <w:sz w:val="17"/>
              </w:rPr>
              <w:t>Сообщение об отмене обращения (для инициатора)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SendEmailToCaseStatusChanged</w:t>
              <w:br/>
              <w:t>+ CaseNotificationRule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C#-класс (CaseService)</w:t>
              <w:br/>
              <w:t>+ справочник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Запрос оценки</w:t>
              <w:br/>
              <w:t>(после решения)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Контактное лицо</w:t>
              <w:br/>
              <w:t>(по настройке)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Запрос оценки по обращению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Запрос оценки по обращению (для инициатора)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SendEmailToCaseStatusChanged</w:t>
              <w:br/>
              <w:t>+ CaseNotificationRule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C#-класс (CaseService)</w:t>
              <w:br/>
              <w:t>+ справочник</w:t>
            </w:r>
          </w:p>
        </w:tc>
      </w:tr>
    </w:tbl>
    <w:p/>
    <w:p>
      <w:pPr>
        <w:ind w:left="283"/>
      </w:pPr>
      <w:r>
        <w:rPr>
          <w:b/>
          <w:color w:val="806000"/>
          <w:sz w:val="17"/>
        </w:rPr>
        <w:t xml:space="preserve">⚠ Примечание: </w:t>
      </w:r>
      <w:r>
        <w:rPr>
          <w:i/>
          <w:color w:val="606060"/>
          <w:sz w:val="17"/>
        </w:rPr>
        <w:t>CC: к письмам клиенту автоматически добавляются CC-адреса из контракта и аккаунта — кастомизация через UsrActivityCcEventListener (CTI).</w:t>
        <w:br/>
        <w:t>Поле «Процитировать оригинальный email» в справочнике CaseNotificationRule позволяет включить цитату исходного письма (ParentActivity), но это корневое письмо, не последний ответ.</w:t>
      </w:r>
    </w:p>
    <w:p>
      <w:r>
        <w:br w:type="page"/>
      </w:r>
    </w:p>
    <w:p>
      <w:pPr>
        <w:pStyle w:val="Heading1"/>
      </w:pPr>
      <w:r>
        <w:rPr>
          <w:color w:val="1F3964"/>
        </w:rPr>
        <w:t>2. Уведомления в сторону Инженера</w:t>
      </w:r>
    </w:p>
    <w:p>
      <w:r>
        <w:rPr>
          <w:sz w:val="19"/>
        </w:rPr>
        <w:t>Инженер получает уведомления при назначении ответственным и при получении ответа от клиента. Push-уведомление (колокольчик) приходит при ЛЮБОМ входящем письме, независимо от статуса.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Событие</w:t>
            </w:r>
          </w:p>
        </w:tc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Получатель</w:t>
            </w:r>
          </w:p>
        </w:tc>
        <w:tc>
          <w:tcPr>
            <w:tcW w:type="dxa" w:w="311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Шаблон письма</w:t>
            </w:r>
          </w:p>
        </w:tc>
        <w:tc>
          <w:tcPr>
            <w:tcW w:type="dxa" w:w="25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Содержание</w:t>
            </w:r>
          </w:p>
        </w:tc>
        <w:tc>
          <w:tcPr>
            <w:tcW w:type="dxa" w:w="311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Механизм (системное имя)</w:t>
            </w:r>
          </w:p>
        </w:tc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Тип механизма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Назначен ответственным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Назначенный инженер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Назначение ответственного в обращении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«Вас назначили ответственным</w:t>
              <w:br/>
              <w:t>по обращению №...»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UsrSendEmailToSROwnerCustom1</w:t>
              <w:br/>
              <w:t>(замещает SendEmailToSROwner)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BPMN-процесс (CTI)</w:t>
              <w:br/>
              <w:t>[родитель: CaseService]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Назначено на группу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Вся группа</w:t>
              <w:br/>
              <w:t>ответственных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На группу назначено обращение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«На группу назначено</w:t>
              <w:br/>
              <w:t>обращение №...»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SendEmailToSROwner</w:t>
              <w:br/>
              <w:t>(базовый, CaseService)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BPMN-процесс</w:t>
              <w:br/>
              <w:t>(CaseService)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Клиент написал ответ</w:t>
              <w:br/>
              <w:t>→ «Получен ответ»</w:t>
              <w:br/>
              <w:t>(только из ряда статусов,</w:t>
              <w:br/>
              <w:t>см. раздел 5)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Ответственный инженер</w:t>
              <w:br/>
              <w:t>+ копия: роль «1-я линия»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Добавление нового email</w:t>
              <w:br/>
              <w:t>по обращению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«Получен новый email</w:t>
              <w:br/>
              <w:t>по обращению №...»</w:t>
              <w:br/>
              <w:t>⚠ Текст письма клиента</w:t>
              <w:br/>
              <w:t>НЕ включён</w:t>
              <w:br/>
              <w:br/>
              <w:t>От: servicedesk@cti.ru</w:t>
              <w:br/>
              <w:t>Кому: email ответственного</w:t>
              <w:br/>
              <w:t>Копия: роль «1-я линия»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UsrProcess_0c71a12CTI5</w:t>
              <w:br/>
              <w:t>(запускается StartSignal</w:t>
              <w:br/>
              <w:t>при смене Case.Status)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BPMN-процесс (CTI)</w:t>
            </w:r>
          </w:p>
        </w:tc>
      </w:tr>
    </w:tbl>
    <w:p/>
    <w:p>
      <w:pPr>
        <w:pStyle w:val="Heading1"/>
      </w:pPr>
      <w:r>
        <w:rPr>
          <w:color w:val="1F3964"/>
        </w:rPr>
        <w:t>3. Push-уведомления внутри BPMSoft (не email)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11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Событие</w:t>
            </w:r>
          </w:p>
        </w:tc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Получатель</w:t>
            </w:r>
          </w:p>
        </w:tc>
        <w:tc>
          <w:tcPr>
            <w:tcW w:type="dxa" w:w="45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Механизм (системное имя)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Тип механизма</w:t>
            </w:r>
          </w:p>
        </w:tc>
      </w:tr>
      <w:tr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Клиент написал по обращению</w:t>
              <w:br/>
              <w:t>(ЛЮБОЙ статус — без исключений)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Ответственный инженер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17"/>
              </w:rPr>
              <w:t>ReopenCaseAndNotifyAssignee → NotifyOwner()</w:t>
              <w:br/>
              <w:t>→ запись Reminding в БД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C#-класс (CaseService)</w:t>
            </w:r>
          </w:p>
        </w:tc>
      </w:tr>
      <w:tr>
        <w:tc>
          <w:tcPr>
            <w:tcW w:type="dxa" w:w="3118"/>
          </w:tcPr>
          <w:p>
            <w:r>
              <w:rPr>
                <w:sz w:val="17"/>
              </w:rPr>
              <w:t>Переоткрытие обращения (групповое)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Группа ответственных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Единое окно (штатный платформенный механизм)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Платформа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964"/>
        </w:rPr>
        <w:t>4. Полная цепочка при получении email от клиента</w:t>
      </w:r>
    </w:p>
    <w:p>
      <w:pPr>
        <w:ind w:left="170"/>
      </w:pPr>
      <w:r>
        <w:rPr>
          <w:b/>
          <w:color w:val="2E74B5"/>
          <w:sz w:val="19"/>
        </w:rPr>
        <w:t>Шаг 1. BPMSoft получает входящее письмо</w:t>
        <w:br/>
      </w:r>
      <w:r>
        <w:rPr>
          <w:sz w:val="18"/>
        </w:rPr>
        <w:t>Создаётся Activity (Type=Email, MessageType=Incoming). Письмо привязывается к обращению по номеру в теме.</w:t>
      </w:r>
    </w:p>
    <w:p>
      <w:pPr>
        <w:ind w:left="170"/>
      </w:pPr>
      <w:r>
        <w:rPr>
          <w:b/>
          <w:color w:val="2E74B5"/>
          <w:sz w:val="19"/>
        </w:rPr>
        <w:t>Шаг 2. Сохранение CC-адресов</w:t>
        <w:br/>
      </w:r>
      <w:r>
        <w:rPr>
          <w:sz w:val="18"/>
        </w:rPr>
        <w:t>UsrActivityCcEventListener (CTI) фиксирует CC-адреса из входящего письма в Case.UsrCcEmails.</w:t>
      </w:r>
    </w:p>
    <w:p>
      <w:pPr>
        <w:ind w:left="170"/>
      </w:pPr>
      <w:r>
        <w:rPr>
          <w:b/>
          <w:color w:val="2E74B5"/>
          <w:sz w:val="19"/>
        </w:rPr>
        <w:t>Шаг 3. Запуск оркестратора</w:t>
        <w:br/>
      </w:r>
      <w:r>
        <w:rPr>
          <w:sz w:val="18"/>
        </w:rPr>
        <w:t>Сигнал на новую Activity по обращению → BPMN RunSendNotificationCaseOwnerProcess (CaseService).</w:t>
      </w:r>
    </w:p>
    <w:p>
      <w:pPr>
        <w:ind w:left="170"/>
      </w:pPr>
      <w:r>
        <w:rPr>
          <w:b/>
          <w:color w:val="2E74B5"/>
          <w:sz w:val="19"/>
        </w:rPr>
        <w:t>Шаг 4. Выбор пути (feature-toggle)</w:t>
        <w:br/>
      </w:r>
      <w:r>
        <w:rPr>
          <w:sz w:val="18"/>
        </w:rPr>
        <w:t>toggle RunReopenCaseAndNotifyAssigneeClass=1 (на проде) → C#-класс ReopenCaseAndNotifyAssignee.</w:t>
        <w:br/>
        <w:t>При toggle=0 — шёл бы BPMN UsrSendNotificationToCaseOwnerCustom1 (на проде не используется).</w:t>
      </w:r>
    </w:p>
    <w:p>
      <w:pPr>
        <w:ind w:left="170"/>
      </w:pPr>
      <w:r>
        <w:rPr>
          <w:b/>
          <w:color w:val="2E74B5"/>
          <w:sz w:val="19"/>
        </w:rPr>
        <w:t>Шаг 5. Переоткрытие (смена статуса)</w:t>
        <w:br/>
      </w:r>
      <w:r>
        <w:rPr>
          <w:sz w:val="18"/>
        </w:rPr>
        <w:t>Предикат ReopeningCondition: если статус «на паузе» или «Решено» → меняет на «Получен ответ».</w:t>
        <w:br/>
        <w:t>Если «Новое», «В работе», уже «Получен ответ» или финальный — статус НЕ меняется.</w:t>
      </w:r>
    </w:p>
    <w:p>
      <w:pPr>
        <w:ind w:left="170"/>
      </w:pPr>
      <w:r>
        <w:rPr>
          <w:b/>
          <w:color w:val="2E74B5"/>
          <w:sz w:val="19"/>
        </w:rPr>
        <w:t>Шаг 6. Push-уведомление инженеру (всегда)</w:t>
        <w:br/>
      </w:r>
      <w:r>
        <w:rPr>
          <w:sz w:val="18"/>
        </w:rPr>
        <w:t>NotifyOwner() → запись Reminding → колокольчик BPMSoft. Срабатывает ВСЕГДА при наличии ответственного.</w:t>
      </w:r>
    </w:p>
    <w:p>
      <w:pPr>
        <w:ind w:left="170"/>
      </w:pPr>
      <w:r>
        <w:rPr>
          <w:b/>
          <w:color w:val="2E74B5"/>
          <w:sz w:val="19"/>
        </w:rPr>
        <w:t>Шаг 7. Email инженеру (только если статус изменился)</w:t>
        <w:br/>
      </w:r>
      <w:r>
        <w:rPr>
          <w:sz w:val="18"/>
        </w:rPr>
        <w:t>Смена статуса на «Получен ответ» → StartSignal → UsrProcess_0c71a12CTI5 (CTI).</w:t>
        <w:br/>
        <w:t>Читает данные обращения и email ответственного → отправляет по шаблону.</w:t>
        <w:br/>
        <w:t>⚠ Текст клиентского письма в email НЕ включён (GAP — задача 2.3).</w:t>
      </w:r>
    </w:p>
    <w:p/>
    <w:p>
      <w:pPr>
        <w:pStyle w:val="Heading1"/>
      </w:pPr>
      <w:r>
        <w:rPr>
          <w:color w:val="1F3964"/>
        </w:rPr>
        <w:t>5. Логика статуса «Получен ответ» — откуда берётся перечень статусов</w:t>
      </w:r>
    </w:p>
    <w:p>
      <w:pPr>
        <w:pStyle w:val="Heading2"/>
      </w:pPr>
      <w:r>
        <w:rPr>
          <w:color w:val="1F3964"/>
        </w:rPr>
        <w:t>5.1 Где задаётся в системе</w:t>
      </w:r>
    </w:p>
    <w:p>
      <w:r>
        <w:rPr>
          <w:sz w:val="19"/>
        </w:rPr>
        <w:t>Путь: Администрирование → Справочники → Состояния обращений (таблица CaseStatus)</w:t>
        <w:br/>
        <w:br/>
        <w:t>Каждое состояние имеет флаги:</w:t>
        <w:br/>
        <w:t xml:space="preserve">  • «На паузе» (IsPaused) — обращение ожидает чего-либо</w:t>
        <w:br/>
        <w:t xml:space="preserve">  • «Является решением» (IsResolved) — обращение считается решённым</w:t>
        <w:br/>
        <w:t xml:space="preserve">  • «Финальный» (IsFinal) — обращение завершено (Закрыто/Отменено)</w:t>
        <w:br/>
        <w:t xml:space="preserve">  • «Переоткрыто» (IsReopen) — статус «Получен ответ»</w:t>
        <w:br/>
        <w:br/>
        <w:t>Чтобы добавить новый статус в перечень → поставить ему флаг «На паузе» или «Является решением» в справочнике. Изменения в коде не требуются.</w:t>
      </w:r>
    </w:p>
    <w:p/>
    <w:p>
      <w:pPr>
        <w:pStyle w:val="Heading2"/>
      </w:pPr>
      <w:r>
        <w:rPr>
          <w:color w:val="1F3964"/>
        </w:rPr>
        <w:t>5.2 Предикат в C#-коде (ReopenCaseAndNotifyAssignee.cs, CaseService)</w:t>
      </w:r>
    </w:p>
    <w:p>
      <w:r>
        <w:rPr>
          <w:sz w:val="19"/>
        </w:rPr>
        <w:t>Переход в «Получен ответ» происходит, если выполнены ВСЕ три условия:</w:t>
        <w:br/>
        <w:t xml:space="preserve">  1. Статус НЕ является уже «Получен ответ» (!IsReopenStatus)</w:t>
        <w:br/>
        <w:t xml:space="preserve">  2. Статус НЕ финальный (!IsFinalStatus) — не «Закрыто» и не «Отменено»</w:t>
        <w:br/>
        <w:t xml:space="preserve">  3. Статус является «Решённым» ИЛИ «На паузе» (IsResolved OR IsPaused)</w:t>
        <w:br/>
        <w:br/>
        <w:t>Значения флагов читаются из справочника CaseStatus через CaseStatusStore — список не зашит в коде, берётся из БД.</w:t>
      </w:r>
    </w:p>
    <w:p/>
    <w:p>
      <w:pPr>
        <w:pStyle w:val="Heading2"/>
      </w:pPr>
      <w:r>
        <w:rPr>
          <w:color w:val="1F3964"/>
        </w:rPr>
        <w:t>5.3 Перечень статусов (с прода, апрель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969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Статус обращения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На паузе (IsPaused)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Решено (IsResolved)</w:t>
            </w:r>
          </w:p>
        </w:tc>
        <w:tc>
          <w:tcPr>
            <w:tcW w:type="dxa" w:w="340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Переход в «Получен ответ»?</w:t>
            </w:r>
          </w:p>
        </w:tc>
      </w:tr>
      <w:tr>
        <w:tc>
          <w:tcPr>
            <w:tcW w:type="dxa" w:w="3969"/>
            <w:shd w:val="clear" w:color="auto" w:fill="FCE4D6"/>
          </w:tcPr>
          <w:p>
            <w:r>
              <w:rPr>
                <w:sz w:val="17"/>
              </w:rPr>
              <w:t>Новое</w:t>
            </w:r>
          </w:p>
        </w:tc>
        <w:tc>
          <w:tcPr>
            <w:tcW w:type="dxa" w:w="2268"/>
            <w:shd w:val="clear" w:color="auto" w:fill="FCE4D6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268"/>
            <w:shd w:val="clear" w:color="auto" w:fill="FCE4D6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FCE4D6"/>
          </w:tcPr>
          <w:p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3969"/>
            <w:shd w:val="clear" w:color="auto" w:fill="FCE4D6"/>
          </w:tcPr>
          <w:p>
            <w:r>
              <w:rPr>
                <w:sz w:val="17"/>
              </w:rPr>
              <w:t>В работе</w:t>
            </w:r>
          </w:p>
        </w:tc>
        <w:tc>
          <w:tcPr>
            <w:tcW w:type="dxa" w:w="2268"/>
            <w:shd w:val="clear" w:color="auto" w:fill="FCE4D6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268"/>
            <w:shd w:val="clear" w:color="auto" w:fill="FCE4D6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FCE4D6"/>
          </w:tcPr>
          <w:p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3969"/>
            <w:shd w:val="clear" w:color="auto" w:fill="E2EFDA"/>
          </w:tcPr>
          <w:p>
            <w:r>
              <w:rPr>
                <w:sz w:val="17"/>
              </w:rPr>
              <w:t>Ожидает ответа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sz w:val="17"/>
              </w:rPr>
              <w:t>Да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2EFDA"/>
          </w:tcPr>
          <w:p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3969"/>
            <w:shd w:val="clear" w:color="auto" w:fill="E2EFDA"/>
          </w:tcPr>
          <w:p>
            <w:r>
              <w:rPr>
                <w:sz w:val="17"/>
              </w:rPr>
              <w:t>Отложен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sz w:val="17"/>
              </w:rPr>
              <w:t>Да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2EFDA"/>
          </w:tcPr>
          <w:p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3969"/>
            <w:shd w:val="clear" w:color="auto" w:fill="E2EFDA"/>
          </w:tcPr>
          <w:p>
            <w:r>
              <w:rPr>
                <w:sz w:val="17"/>
              </w:rPr>
              <w:t>Передано сервис-менеджеру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sz w:val="17"/>
              </w:rPr>
              <w:t>Да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2EFDA"/>
          </w:tcPr>
          <w:p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3969"/>
            <w:shd w:val="clear" w:color="auto" w:fill="E2EFDA"/>
          </w:tcPr>
          <w:p>
            <w:r>
              <w:rPr>
                <w:sz w:val="17"/>
              </w:rPr>
              <w:t>Направлено в группу специализации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sz w:val="17"/>
              </w:rPr>
              <w:t>Да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2EFDA"/>
          </w:tcPr>
          <w:p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3969"/>
            <w:shd w:val="clear" w:color="auto" w:fill="E2EFDA"/>
          </w:tcPr>
          <w:p>
            <w:r>
              <w:rPr>
                <w:sz w:val="17"/>
              </w:rPr>
              <w:t>Находится в работе у вендора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sz w:val="17"/>
              </w:rPr>
              <w:t>Да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2EFDA"/>
          </w:tcPr>
          <w:p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3969"/>
            <w:shd w:val="clear" w:color="auto" w:fill="E2EFDA"/>
          </w:tcPr>
          <w:p>
            <w:r>
              <w:rPr>
                <w:sz w:val="17"/>
              </w:rPr>
              <w:t>Передано в отдел логистики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sz w:val="17"/>
              </w:rPr>
              <w:t>Да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2EFDA"/>
          </w:tcPr>
          <w:p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3969"/>
            <w:shd w:val="clear" w:color="auto" w:fill="E2EFDA"/>
          </w:tcPr>
          <w:p>
            <w:r>
              <w:rPr>
                <w:sz w:val="17"/>
              </w:rPr>
              <w:t>Ожидаем поставщика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sz w:val="17"/>
              </w:rPr>
              <w:t>Да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2EFDA"/>
          </w:tcPr>
          <w:p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3969"/>
            <w:shd w:val="clear" w:color="auto" w:fill="E2EFDA"/>
          </w:tcPr>
          <w:p>
            <w:r>
              <w:rPr>
                <w:sz w:val="17"/>
              </w:rPr>
              <w:t>Ожидается применение релиза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sz w:val="17"/>
              </w:rPr>
              <w:t>Да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2EFDA"/>
          </w:tcPr>
          <w:p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3969"/>
            <w:shd w:val="clear" w:color="auto" w:fill="E2EFDA"/>
          </w:tcPr>
          <w:p>
            <w:r>
              <w:rPr>
                <w:sz w:val="17"/>
              </w:rPr>
              <w:t>Ожидает повторение проблемы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sz w:val="17"/>
              </w:rPr>
              <w:t>Да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2EFDA"/>
          </w:tcPr>
          <w:p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3969"/>
            <w:shd w:val="clear" w:color="auto" w:fill="E2EFDA"/>
          </w:tcPr>
          <w:p>
            <w:r>
              <w:rPr>
                <w:sz w:val="17"/>
              </w:rPr>
              <w:t>Идёт доработка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sz w:val="17"/>
              </w:rPr>
              <w:t>Да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2EFDA"/>
          </w:tcPr>
          <w:p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3969"/>
            <w:shd w:val="clear" w:color="auto" w:fill="E2EFDA"/>
          </w:tcPr>
          <w:p>
            <w:r>
              <w:rPr>
                <w:sz w:val="17"/>
              </w:rPr>
              <w:t>Идёт тестирование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sz w:val="17"/>
              </w:rPr>
              <w:t>Да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2EFDA"/>
          </w:tcPr>
          <w:p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3969"/>
            <w:shd w:val="clear" w:color="auto" w:fill="E2EFDA"/>
          </w:tcPr>
          <w:p>
            <w:r>
              <w:rPr>
                <w:sz w:val="17"/>
              </w:rPr>
              <w:t>Передано в отдел разработки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sz w:val="17"/>
              </w:rPr>
              <w:t>Да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2EFDA"/>
          </w:tcPr>
          <w:p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3969"/>
            <w:shd w:val="clear" w:color="auto" w:fill="E2EFDA"/>
          </w:tcPr>
          <w:p>
            <w:r>
              <w:rPr>
                <w:sz w:val="17"/>
              </w:rPr>
              <w:t>Передано в SD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sz w:val="17"/>
              </w:rPr>
              <w:t>Да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2EFDA"/>
          </w:tcPr>
          <w:p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3969"/>
            <w:shd w:val="clear" w:color="auto" w:fill="E2EFDA"/>
          </w:tcPr>
          <w:p>
            <w:r>
              <w:rPr>
                <w:sz w:val="17"/>
              </w:rPr>
              <w:t>Приостановлен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sz w:val="17"/>
              </w:rPr>
              <w:t>Да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2EFDA"/>
          </w:tcPr>
          <w:p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3969"/>
            <w:shd w:val="clear" w:color="auto" w:fill="E2EFDA"/>
          </w:tcPr>
          <w:p>
            <w:r>
              <w:rPr>
                <w:sz w:val="17"/>
              </w:rPr>
              <w:t>Решено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sz w:val="17"/>
              </w:rPr>
              <w:t>Да</w:t>
            </w:r>
          </w:p>
        </w:tc>
        <w:tc>
          <w:tcPr>
            <w:tcW w:type="dxa" w:w="3402"/>
            <w:shd w:val="clear" w:color="auto" w:fill="E2EFDA"/>
          </w:tcPr>
          <w:p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3969"/>
            <w:shd w:val="clear" w:color="auto" w:fill="E2EFDA"/>
          </w:tcPr>
          <w:p>
            <w:r>
              <w:rPr>
                <w:sz w:val="17"/>
              </w:rPr>
              <w:t>Работы выполнены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sz w:val="17"/>
              </w:rPr>
              <w:t>Да</w:t>
            </w:r>
          </w:p>
        </w:tc>
        <w:tc>
          <w:tcPr>
            <w:tcW w:type="dxa" w:w="3402"/>
            <w:shd w:val="clear" w:color="auto" w:fill="E2EFDA"/>
          </w:tcPr>
          <w:p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3969"/>
            <w:shd w:val="clear" w:color="auto" w:fill="FFF2CC"/>
          </w:tcPr>
          <w:p>
            <w:r>
              <w:rPr>
                <w:sz w:val="17"/>
              </w:rPr>
              <w:t>Получен ответ</w:t>
            </w:r>
          </w:p>
        </w:tc>
        <w:tc>
          <w:tcPr>
            <w:tcW w:type="dxa" w:w="2268"/>
            <w:shd w:val="clear" w:color="auto" w:fill="FFF2CC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268"/>
            <w:shd w:val="clear" w:color="auto" w:fill="FFF2CC"/>
          </w:tcPr>
          <w:p>
            <w:r>
              <w:rPr>
                <w:sz w:val="17"/>
              </w:rPr>
              <w:t>— (IsReopen=Да)</w:t>
            </w:r>
          </w:p>
        </w:tc>
        <w:tc>
          <w:tcPr>
            <w:tcW w:type="dxa" w:w="3402"/>
            <w:shd w:val="clear" w:color="auto" w:fill="FFF2CC"/>
          </w:tcPr>
          <w:p>
            <w:r>
              <w:rPr>
                <w:sz w:val="17"/>
              </w:rPr>
              <w:t>Нет (уже переоткрыт)</w:t>
            </w:r>
          </w:p>
        </w:tc>
      </w:tr>
      <w:tr>
        <w:tc>
          <w:tcPr>
            <w:tcW w:type="dxa" w:w="3969"/>
            <w:shd w:val="clear" w:color="auto" w:fill="FFF2CC"/>
          </w:tcPr>
          <w:p>
            <w:r>
              <w:rPr>
                <w:sz w:val="17"/>
              </w:rPr>
              <w:t>Закрыто</w:t>
            </w:r>
          </w:p>
        </w:tc>
        <w:tc>
          <w:tcPr>
            <w:tcW w:type="dxa" w:w="2268"/>
            <w:shd w:val="clear" w:color="auto" w:fill="FFF2CC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268"/>
            <w:shd w:val="clear" w:color="auto" w:fill="FFF2CC"/>
          </w:tcPr>
          <w:p>
            <w:r>
              <w:rPr>
                <w:sz w:val="17"/>
              </w:rPr>
              <w:t>— (IsFinal=Да)</w:t>
            </w:r>
          </w:p>
        </w:tc>
        <w:tc>
          <w:tcPr>
            <w:tcW w:type="dxa" w:w="3402"/>
            <w:shd w:val="clear" w:color="auto" w:fill="FFF2CC"/>
          </w:tcPr>
          <w:p>
            <w:r>
              <w:rPr>
                <w:sz w:val="17"/>
              </w:rPr>
              <w:t>Нет (финальный)</w:t>
            </w:r>
          </w:p>
        </w:tc>
      </w:tr>
      <w:tr>
        <w:tc>
          <w:tcPr>
            <w:tcW w:type="dxa" w:w="3969"/>
            <w:shd w:val="clear" w:color="auto" w:fill="FFF2CC"/>
          </w:tcPr>
          <w:p>
            <w:r>
              <w:rPr>
                <w:sz w:val="17"/>
              </w:rPr>
              <w:t>Отменено</w:t>
            </w:r>
          </w:p>
        </w:tc>
        <w:tc>
          <w:tcPr>
            <w:tcW w:type="dxa" w:w="2268"/>
            <w:shd w:val="clear" w:color="auto" w:fill="FFF2CC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268"/>
            <w:shd w:val="clear" w:color="auto" w:fill="FFF2CC"/>
          </w:tcPr>
          <w:p>
            <w:r>
              <w:rPr>
                <w:sz w:val="17"/>
              </w:rPr>
              <w:t>— (IsFinal=Да)</w:t>
            </w:r>
          </w:p>
        </w:tc>
        <w:tc>
          <w:tcPr>
            <w:tcW w:type="dxa" w:w="3402"/>
            <w:shd w:val="clear" w:color="auto" w:fill="FFF2CC"/>
          </w:tcPr>
          <w:p>
            <w:r>
              <w:rPr>
                <w:sz w:val="17"/>
              </w:rPr>
              <w:t>Нет (финальный)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964"/>
        </w:rPr>
        <w:t>6. Полный список шаблонов уведомлений (по документации BPMSoft v1.9)</w:t>
      </w:r>
    </w:p>
    <w:p>
      <w:r>
        <w:rPr>
          <w:sz w:val="19"/>
        </w:rPr>
        <w:t>Шаблоны хранятся в справочнике «Шаблоны сообщений» (EmailTemplate). Для клиентских событий существуют пары шаблонов: один для Пользователя услуги, второй для Инициатора (суффикс «(для инициатора)»). Шаблоны редактируются в Дизайнере системы → Справочники → Шаблоны сообщений.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68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Шаблон</w:t>
            </w:r>
          </w:p>
        </w:tc>
        <w:tc>
          <w:tcPr>
            <w:tcW w:type="dxa" w:w="3969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Вариант для инициатора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Направление</w:t>
            </w:r>
          </w:p>
        </w:tc>
        <w:tc>
          <w:tcPr>
            <w:tcW w:type="dxa" w:w="510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Назначение</w:t>
            </w:r>
          </w:p>
        </w:tc>
      </w:tr>
      <w:tr>
        <w:tc>
          <w:tcPr>
            <w:tcW w:type="dxa" w:w="3685"/>
            <w:shd w:val="clear" w:color="auto" w:fill="EBF3FB"/>
          </w:tcPr>
          <w:p>
            <w:r>
              <w:rPr>
                <w:sz w:val="17"/>
              </w:rPr>
              <w:t>Создание нового обращения из чата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Клиенту</w:t>
            </w:r>
          </w:p>
        </w:tc>
        <w:tc>
          <w:tcPr>
            <w:tcW w:type="dxa" w:w="5102"/>
            <w:shd w:val="clear" w:color="auto" w:fill="EBF3FB"/>
          </w:tcPr>
          <w:p>
            <w:r>
              <w:rPr>
                <w:sz w:val="17"/>
              </w:rPr>
              <w:t>Уведомление о создании обращения через чат</w:t>
            </w:r>
          </w:p>
        </w:tc>
      </w:tr>
      <w:tr>
        <w:tc>
          <w:tcPr>
            <w:tcW w:type="dxa" w:w="3685"/>
          </w:tcPr>
          <w:p>
            <w:r>
              <w:rPr>
                <w:sz w:val="17"/>
              </w:rPr>
              <w:t>Сообщение о взятии обращения в работу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Сообщение о взятии обращения в работу (для инициатора)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Клиенту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Обращение взято в работу</w:t>
            </w:r>
          </w:p>
        </w:tc>
      </w:tr>
      <w:tr>
        <w:tc>
          <w:tcPr>
            <w:tcW w:type="dxa" w:w="3685"/>
            <w:shd w:val="clear" w:color="auto" w:fill="EBF3FB"/>
          </w:tcPr>
          <w:p>
            <w:r>
              <w:rPr>
                <w:sz w:val="17"/>
              </w:rPr>
              <w:t>Сообщение о получении нового ответа по обращению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7"/>
              </w:rPr>
              <w:t>Сообщение о получении нового ответа по обращению (для инициатора)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Клиенту</w:t>
            </w:r>
          </w:p>
        </w:tc>
        <w:tc>
          <w:tcPr>
            <w:tcW w:type="dxa" w:w="5102"/>
            <w:shd w:val="clear" w:color="auto" w:fill="EBF3FB"/>
          </w:tcPr>
          <w:p>
            <w:r>
              <w:rPr>
                <w:sz w:val="17"/>
              </w:rPr>
              <w:t>Инженер написал ответ по обращению</w:t>
            </w:r>
          </w:p>
        </w:tc>
      </w:tr>
      <w:tr>
        <w:tc>
          <w:tcPr>
            <w:tcW w:type="dxa" w:w="3685"/>
          </w:tcPr>
          <w:p>
            <w:r>
              <w:rPr>
                <w:sz w:val="17"/>
              </w:rPr>
              <w:t>Сообщение о разрешении обращения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Сообщение о разрешении обращения (для инициатора)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Клиенту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Обращение решено</w:t>
            </w:r>
          </w:p>
        </w:tc>
      </w:tr>
      <w:tr>
        <w:tc>
          <w:tcPr>
            <w:tcW w:type="dxa" w:w="3685"/>
            <w:shd w:val="clear" w:color="auto" w:fill="EBF3FB"/>
          </w:tcPr>
          <w:p>
            <w:r>
              <w:rPr>
                <w:sz w:val="17"/>
              </w:rPr>
              <w:t>Сообщение о разрешении обращения – только с решением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7"/>
              </w:rPr>
              <w:t>Сообщение о разрешении обращения – только с решением (для инициатора)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Клиенту</w:t>
            </w:r>
          </w:p>
        </w:tc>
        <w:tc>
          <w:tcPr>
            <w:tcW w:type="dxa" w:w="5102"/>
            <w:shd w:val="clear" w:color="auto" w:fill="EBF3FB"/>
          </w:tcPr>
          <w:p>
            <w:r>
              <w:rPr>
                <w:sz w:val="17"/>
              </w:rPr>
              <w:t>Обращение решено (упрощённый вариант — только текст решения)</w:t>
            </w:r>
          </w:p>
        </w:tc>
      </w:tr>
      <w:tr>
        <w:tc>
          <w:tcPr>
            <w:tcW w:type="dxa" w:w="3685"/>
          </w:tcPr>
          <w:p>
            <w:r>
              <w:rPr>
                <w:sz w:val="17"/>
              </w:rPr>
              <w:t>Подтверждение закрытия обращения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Подтверждение закрытия обращения (для инициатора)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Клиенту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Запрос подтверждения закрытия из-за долгого ожидания ответа</w:t>
            </w:r>
          </w:p>
        </w:tc>
      </w:tr>
      <w:tr>
        <w:tc>
          <w:tcPr>
            <w:tcW w:type="dxa" w:w="3685"/>
            <w:shd w:val="clear" w:color="auto" w:fill="EBF3FB"/>
          </w:tcPr>
          <w:p>
            <w:r>
              <w:rPr>
                <w:sz w:val="17"/>
              </w:rPr>
              <w:t>Сообщение о закрытии обращения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7"/>
              </w:rPr>
              <w:t>Сообщение о закрытии обращения (для инициатора)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Клиенту</w:t>
            </w:r>
          </w:p>
        </w:tc>
        <w:tc>
          <w:tcPr>
            <w:tcW w:type="dxa" w:w="5102"/>
            <w:shd w:val="clear" w:color="auto" w:fill="EBF3FB"/>
          </w:tcPr>
          <w:p>
            <w:r>
              <w:rPr>
                <w:sz w:val="17"/>
              </w:rPr>
              <w:t>Обращение закрыто</w:t>
            </w:r>
          </w:p>
        </w:tc>
      </w:tr>
      <w:tr>
        <w:tc>
          <w:tcPr>
            <w:tcW w:type="dxa" w:w="3685"/>
          </w:tcPr>
          <w:p>
            <w:r>
              <w:rPr>
                <w:sz w:val="17"/>
              </w:rPr>
              <w:t>Сообщение об отмене обращения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Сообщение об отмене обращения (для инициатора)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Клиенту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Обращение отменено</w:t>
            </w:r>
          </w:p>
        </w:tc>
      </w:tr>
      <w:tr>
        <w:tc>
          <w:tcPr>
            <w:tcW w:type="dxa" w:w="3685"/>
            <w:shd w:val="clear" w:color="auto" w:fill="EBF3FB"/>
          </w:tcPr>
          <w:p>
            <w:r>
              <w:rPr>
                <w:sz w:val="17"/>
              </w:rPr>
              <w:t>Запрос оценки по обращению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7"/>
              </w:rPr>
              <w:t>Запрос оценки по обращению (для инициатора)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Клиенту</w:t>
            </w:r>
          </w:p>
        </w:tc>
        <w:tc>
          <w:tcPr>
            <w:tcW w:type="dxa" w:w="5102"/>
            <w:shd w:val="clear" w:color="auto" w:fill="EBF3FB"/>
          </w:tcPr>
          <w:p>
            <w:r>
              <w:rPr>
                <w:sz w:val="17"/>
              </w:rPr>
              <w:t>Запрос оценки качества обслуживания после решения</w:t>
            </w:r>
          </w:p>
        </w:tc>
      </w:tr>
      <w:tr>
        <w:tc>
          <w:tcPr>
            <w:tcW w:type="dxa" w:w="3685"/>
            <w:shd w:val="clear" w:color="auto" w:fill="E2EFDA"/>
          </w:tcPr>
          <w:p>
            <w:r>
              <w:rPr>
                <w:sz w:val="17"/>
              </w:rPr>
              <w:t>Назначение ответственного в обращении</w:t>
            </w:r>
          </w:p>
        </w:tc>
        <w:tc>
          <w:tcPr>
            <w:tcW w:type="dxa" w:w="3969"/>
            <w:shd w:val="clear" w:color="auto" w:fill="E2EFDA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7"/>
            <w:shd w:val="clear" w:color="auto" w:fill="E2EFDA"/>
          </w:tcPr>
          <w:p>
            <w:r>
              <w:rPr>
                <w:sz w:val="17"/>
              </w:rPr>
              <w:t>Инженеру</w:t>
            </w:r>
          </w:p>
        </w:tc>
        <w:tc>
          <w:tcPr>
            <w:tcW w:type="dxa" w:w="5102"/>
            <w:shd w:val="clear" w:color="auto" w:fill="E2EFDA"/>
          </w:tcPr>
          <w:p>
            <w:r>
              <w:rPr>
                <w:sz w:val="17"/>
              </w:rPr>
              <w:t>Внутреннее: ответственный назначен</w:t>
            </w:r>
          </w:p>
        </w:tc>
      </w:tr>
      <w:tr>
        <w:tc>
          <w:tcPr>
            <w:tcW w:type="dxa" w:w="3685"/>
            <w:shd w:val="clear" w:color="auto" w:fill="E2EFDA"/>
          </w:tcPr>
          <w:p>
            <w:r>
              <w:rPr>
                <w:sz w:val="17"/>
              </w:rPr>
              <w:t>На группу назначено обращение</w:t>
            </w:r>
          </w:p>
        </w:tc>
        <w:tc>
          <w:tcPr>
            <w:tcW w:type="dxa" w:w="3969"/>
            <w:shd w:val="clear" w:color="auto" w:fill="E2EFDA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7"/>
            <w:shd w:val="clear" w:color="auto" w:fill="E2EFDA"/>
          </w:tcPr>
          <w:p>
            <w:r>
              <w:rPr>
                <w:sz w:val="17"/>
              </w:rPr>
              <w:t>Инженеру (группа)</w:t>
            </w:r>
          </w:p>
        </w:tc>
        <w:tc>
          <w:tcPr>
            <w:tcW w:type="dxa" w:w="5102"/>
            <w:shd w:val="clear" w:color="auto" w:fill="E2EFDA"/>
          </w:tcPr>
          <w:p>
            <w:r>
              <w:rPr>
                <w:sz w:val="17"/>
              </w:rPr>
              <w:t>Внутреннее: обращение назначено на группу</w:t>
            </w:r>
          </w:p>
        </w:tc>
      </w:tr>
      <w:tr>
        <w:tc>
          <w:tcPr>
            <w:tcW w:type="dxa" w:w="3685"/>
            <w:shd w:val="clear" w:color="auto" w:fill="E2EFDA"/>
          </w:tcPr>
          <w:p>
            <w:r>
              <w:rPr>
                <w:sz w:val="17"/>
              </w:rPr>
              <w:t>Добавление нового email по обращению</w:t>
            </w:r>
          </w:p>
        </w:tc>
        <w:tc>
          <w:tcPr>
            <w:tcW w:type="dxa" w:w="3969"/>
            <w:shd w:val="clear" w:color="auto" w:fill="E2EFDA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7"/>
            <w:shd w:val="clear" w:color="auto" w:fill="E2EFDA"/>
          </w:tcPr>
          <w:p>
            <w:r>
              <w:rPr>
                <w:sz w:val="17"/>
              </w:rPr>
              <w:t>Инженеру</w:t>
            </w:r>
          </w:p>
        </w:tc>
        <w:tc>
          <w:tcPr>
            <w:tcW w:type="dxa" w:w="5102"/>
            <w:shd w:val="clear" w:color="auto" w:fill="E2EFDA"/>
          </w:tcPr>
          <w:p>
            <w:r>
              <w:rPr>
                <w:sz w:val="17"/>
              </w:rPr>
              <w:t>Внутреннее: получен новый email от клиента по обращению</w:t>
            </w:r>
          </w:p>
        </w:tc>
      </w:tr>
      <w:tr>
        <w:tc>
          <w:tcPr>
            <w:tcW w:type="dxa" w:w="3685"/>
            <w:shd w:val="clear" w:color="auto" w:fill="EBF3FB"/>
          </w:tcPr>
          <w:p>
            <w:r>
              <w:rPr>
                <w:sz w:val="17"/>
              </w:rPr>
              <w:t>Пустой шаблон по обращению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Любое</w:t>
            </w:r>
          </w:p>
        </w:tc>
        <w:tc>
          <w:tcPr>
            <w:tcW w:type="dxa" w:w="5102"/>
            <w:shd w:val="clear" w:color="auto" w:fill="EBF3FB"/>
          </w:tcPr>
          <w:p>
            <w:r>
              <w:rPr>
                <w:sz w:val="17"/>
              </w:rPr>
              <w:t>Нестандартные уведомления (заготовка)</w:t>
            </w:r>
          </w:p>
        </w:tc>
      </w:tr>
      <w:tr>
        <w:tc>
          <w:tcPr>
            <w:tcW w:type="dxa" w:w="3685"/>
          </w:tcPr>
          <w:p>
            <w:r>
              <w:rPr>
                <w:sz w:val="17"/>
              </w:rPr>
              <w:t>Шаблон приглашения SSP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Клиенту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Приглашение клиента на портал самообслуживания</w:t>
            </w:r>
          </w:p>
        </w:tc>
      </w:tr>
      <w:tr>
        <w:tc>
          <w:tcPr>
            <w:tcW w:type="dxa" w:w="3685"/>
            <w:shd w:val="clear" w:color="auto" w:fill="EBF3FB"/>
          </w:tcPr>
          <w:p>
            <w:r>
              <w:rPr>
                <w:sz w:val="17"/>
              </w:rPr>
              <w:t>Шаблон регистрации пользователя портала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Клиенту</w:t>
            </w:r>
          </w:p>
        </w:tc>
        <w:tc>
          <w:tcPr>
            <w:tcW w:type="dxa" w:w="5102"/>
            <w:shd w:val="clear" w:color="auto" w:fill="EBF3FB"/>
          </w:tcPr>
          <w:p>
            <w:r>
              <w:rPr>
                <w:sz w:val="17"/>
              </w:rPr>
              <w:t>Ссылка активации для нового портального пользователя</w:t>
            </w:r>
          </w:p>
        </w:tc>
      </w:tr>
    </w:tbl>
    <w:p/>
    <w:p>
      <w:pPr>
        <w:ind w:left="283"/>
      </w:pPr>
      <w:r>
        <w:rPr>
          <w:b/>
          <w:color w:val="806000"/>
          <w:sz w:val="17"/>
        </w:rPr>
        <w:t xml:space="preserve">⚠ Примечание: </w:t>
      </w:r>
      <w:r>
        <w:rPr>
          <w:i/>
          <w:color w:val="606060"/>
          <w:sz w:val="17"/>
        </w:rPr>
        <w:t>Зелёным выделены шаблоны для внутренних уведомлений инженерам.</w:t>
      </w:r>
    </w:p>
    <w:p>
      <w:r>
        <w:br w:type="page"/>
      </w:r>
    </w:p>
    <w:p>
      <w:pPr>
        <w:pStyle w:val="Heading1"/>
      </w:pPr>
      <w:r>
        <w:rPr>
          <w:color w:val="1F3964"/>
        </w:rPr>
        <w:t>7. Справочник: системные имена механизмов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311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Системное имя</w:t>
            </w:r>
          </w:p>
        </w:tc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Пакет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Статус</w:t>
            </w:r>
          </w:p>
        </w:tc>
        <w:tc>
          <w:tcPr>
            <w:tcW w:type="dxa" w:w="652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Описание</w:t>
            </w:r>
          </w:p>
        </w:tc>
      </w:tr>
      <w:tr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UsrProcess_send_reg_mail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BPMN-процесс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CTI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Активен</w:t>
            </w:r>
          </w:p>
        </w:tc>
        <w:tc>
          <w:tcPr>
            <w:tcW w:type="dxa" w:w="6520"/>
            <w:shd w:val="clear" w:color="auto" w:fill="EBF3FB"/>
          </w:tcPr>
          <w:p>
            <w:r>
              <w:rPr>
                <w:sz w:val="17"/>
              </w:rPr>
              <w:t>Отправка уведомлений заказчику о регистрации обращения</w:t>
            </w:r>
          </w:p>
        </w:tc>
      </w:tr>
      <w:tr>
        <w:tc>
          <w:tcPr>
            <w:tcW w:type="dxa" w:w="3118"/>
          </w:tcPr>
          <w:p>
            <w:r>
              <w:rPr>
                <w:sz w:val="17"/>
              </w:rPr>
              <w:t>UsrSendEmailToSROwnerCustom1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BPMN-процесс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CTI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Активен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Email ответственному при назначении (замещает SendEmailToSROwner из CaseService)</w:t>
            </w:r>
          </w:p>
        </w:tc>
      </w:tr>
      <w:tr>
        <w:tc>
          <w:tcPr>
            <w:tcW w:type="dxa" w:w="3118"/>
            <w:shd w:val="clear" w:color="auto" w:fill="FFF2CC"/>
          </w:tcPr>
          <w:p>
            <w:r>
              <w:rPr>
                <w:sz w:val="17"/>
              </w:rPr>
              <w:t>UsrSendNotificationToCaseOwnerCustom1</w:t>
            </w:r>
          </w:p>
        </w:tc>
        <w:tc>
          <w:tcPr>
            <w:tcW w:type="dxa" w:w="1701"/>
            <w:shd w:val="clear" w:color="auto" w:fill="FFF2CC"/>
          </w:tcPr>
          <w:p>
            <w:r>
              <w:rPr>
                <w:sz w:val="17"/>
              </w:rPr>
              <w:t>BPMN-процесс</w:t>
            </w:r>
          </w:p>
        </w:tc>
        <w:tc>
          <w:tcPr>
            <w:tcW w:type="dxa" w:w="1417"/>
            <w:shd w:val="clear" w:color="auto" w:fill="FFF2CC"/>
          </w:tcPr>
          <w:p>
            <w:r>
              <w:rPr>
                <w:sz w:val="17"/>
              </w:rPr>
              <w:t>CTI</w:t>
            </w:r>
          </w:p>
        </w:tc>
        <w:tc>
          <w:tcPr>
            <w:tcW w:type="dxa" w:w="1417"/>
            <w:shd w:val="clear" w:color="auto" w:fill="FFF2CC"/>
          </w:tcPr>
          <w:p>
            <w:r>
              <w:rPr>
                <w:sz w:val="17"/>
              </w:rPr>
              <w:t>НЕ активен</w:t>
              <w:br/>
              <w:t>(toggle=1)</w:t>
            </w:r>
          </w:p>
        </w:tc>
        <w:tc>
          <w:tcPr>
            <w:tcW w:type="dxa" w:w="6520"/>
            <w:shd w:val="clear" w:color="auto" w:fill="FFF2CC"/>
          </w:tcPr>
          <w:p>
            <w:r>
              <w:rPr>
                <w:sz w:val="17"/>
              </w:rPr>
              <w:t>Переоткрытие + уведомление ответственного о новом комментарии</w:t>
              <w:br/>
              <w:t>(замещает SendNotificationToCaseOwner; при toggle=1 обходится C#-классом)</w:t>
            </w:r>
          </w:p>
        </w:tc>
      </w:tr>
      <w:tr>
        <w:tc>
          <w:tcPr>
            <w:tcW w:type="dxa" w:w="3118"/>
          </w:tcPr>
          <w:p>
            <w:r>
              <w:rPr>
                <w:sz w:val="17"/>
              </w:rPr>
              <w:t>UsrProcess_0c71a12CTI5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BPMN-процесс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CTI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Активен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Email инженеру при переходе обращения в «Получен ответ»</w:t>
              <w:br/>
              <w:t>(StartSignal на изменение Case.StatusId)</w:t>
              <w:br/>
              <w:t>Отправитель (Sender): servicedesk@cti.ru (MailboxSyncSettings)</w:t>
              <w:br/>
              <w:t>Получатель (Recipient1): email ответственного инженера (из Contact)</w:t>
              <w:br/>
              <w:t>Копия (CopyRecipient1): роль «1-я линия» (VwSysFunctionalRole)</w:t>
              <w:br/>
              <w:t>Шаблон: «Добавление нового email по обращению»</w:t>
              <w:br/>
              <w:t>CreateActivity = false (Activity-запись не создаётся)</w:t>
            </w:r>
          </w:p>
        </w:tc>
      </w:tr>
      <w:tr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RunSendNotificationCaseOwnerProcess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BPMN-процесс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CaseService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Активен</w:t>
            </w:r>
          </w:p>
        </w:tc>
        <w:tc>
          <w:tcPr>
            <w:tcW w:type="dxa" w:w="6520"/>
            <w:shd w:val="clear" w:color="auto" w:fill="EBF3FB"/>
          </w:tcPr>
          <w:p>
            <w:r>
              <w:rPr>
                <w:sz w:val="17"/>
              </w:rPr>
              <w:t>Оркестратор при входящем email: выбирает путь (C# или BPMN) по feature-toggle</w:t>
            </w:r>
          </w:p>
        </w:tc>
      </w:tr>
      <w:tr>
        <w:tc>
          <w:tcPr>
            <w:tcW w:type="dxa" w:w="3118"/>
          </w:tcPr>
          <w:p>
            <w:r>
              <w:rPr>
                <w:sz w:val="17"/>
              </w:rPr>
              <w:t>SendEmailToSROwner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BPMN-процесс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CaseService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Базовый</w:t>
              <w:br/>
              <w:t>(замещён CTI)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Базовый: email ответственному при назначении (родитель UsrSendEmailToSROwnerCustom1)</w:t>
            </w:r>
          </w:p>
        </w:tc>
      </w:tr>
      <w:tr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SendNotificationToCaseOwner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BPMN-процесс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CaseService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Базовый</w:t>
              <w:br/>
              <w:t>(замещён CTI)</w:t>
            </w:r>
          </w:p>
        </w:tc>
        <w:tc>
          <w:tcPr>
            <w:tcW w:type="dxa" w:w="6520"/>
            <w:shd w:val="clear" w:color="auto" w:fill="EBF3FB"/>
          </w:tcPr>
          <w:p>
            <w:r>
              <w:rPr>
                <w:sz w:val="17"/>
              </w:rPr>
              <w:t>Базовый: уведомление ответственного при входящем ответе (родитель UsrSendNotificationToCaseOwnerCustom1)</w:t>
            </w:r>
          </w:p>
        </w:tc>
      </w:tr>
      <w:tr>
        <w:tc>
          <w:tcPr>
            <w:tcW w:type="dxa" w:w="3118"/>
          </w:tcPr>
          <w:p>
            <w:r>
              <w:rPr>
                <w:sz w:val="17"/>
              </w:rPr>
              <w:t>ReopenCaseAndNotifyAssignee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C#-класс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CaseService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Активен</w:t>
              <w:br/>
              <w:t>(toggle=1)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Переоткрытие обращения (смена статуса) + push Reminding при входящем email</w:t>
            </w:r>
          </w:p>
        </w:tc>
      </w:tr>
      <w:tr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SendEmailToCaseStatusChanged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C#-класс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CaseService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Активен</w:t>
              <w:br/>
              <w:t>(toggle=1)</w:t>
            </w:r>
          </w:p>
        </w:tc>
        <w:tc>
          <w:tcPr>
            <w:tcW w:type="dxa" w:w="6520"/>
            <w:shd w:val="clear" w:color="auto" w:fill="EBF3FB"/>
          </w:tcPr>
          <w:p>
            <w:r>
              <w:rPr>
                <w:sz w:val="17"/>
              </w:rPr>
              <w:t>Email клиенту при смене статуса — читает CaseNotificationRule</w:t>
              <w:br/>
              <w:t>toggle: SendEmailToCaseOnStatusChangeClass=1</w:t>
            </w:r>
          </w:p>
        </w:tc>
      </w:tr>
      <w:tr>
        <w:tc>
          <w:tcPr>
            <w:tcW w:type="dxa" w:w="3118"/>
          </w:tcPr>
          <w:p>
            <w:r>
              <w:rPr>
                <w:sz w:val="17"/>
              </w:rPr>
              <w:t>CaseNotificationRule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Справочник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CaseService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Настраивается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Правила: (статус + категория) → шаблон email. Содержит поле «Процитировать оригинальный email».</w:t>
              <w:br/>
              <w:t>UI: Дизайнер системы → Справочники → Правила уведомлений контакта по обращению</w:t>
            </w:r>
          </w:p>
        </w:tc>
      </w:tr>
      <w:tr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EmailWithMacrosManager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C#-класс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CaseService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Системный</w:t>
            </w:r>
          </w:p>
        </w:tc>
        <w:tc>
          <w:tcPr>
            <w:tcW w:type="dxa" w:w="6520"/>
            <w:shd w:val="clear" w:color="auto" w:fill="EBF3FB"/>
          </w:tcPr>
          <w:p>
            <w:r>
              <w:rPr>
                <w:sz w:val="17"/>
              </w:rPr>
              <w:t>Создание email по шаблону с подстановкой макросов (номер, статус, ответственный, даты SLA...)</w:t>
            </w:r>
          </w:p>
        </w:tc>
      </w:tr>
      <w:tr>
        <w:tc>
          <w:tcPr>
            <w:tcW w:type="dxa" w:w="3118"/>
          </w:tcPr>
          <w:p>
            <w:r>
              <w:rPr>
                <w:sz w:val="17"/>
              </w:rPr>
              <w:t>ExtendedEmailWithMacrosManager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C#-класс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CaseService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Системный (не используется)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Расширение EmailWithMacrosManager: добавляет тело ParentActivity (корневого письма) как цитату.</w:t>
              <w:br/>
              <w:t>Не даёт последнее письмо клиента — только корневое.</w:t>
            </w:r>
          </w:p>
        </w:tc>
      </w:tr>
      <w:tr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AsyncEmailSender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C#-класс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CaseService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Системный</w:t>
            </w:r>
          </w:p>
        </w:tc>
        <w:tc>
          <w:tcPr>
            <w:tcW w:type="dxa" w:w="6520"/>
            <w:shd w:val="clear" w:color="auto" w:fill="EBF3FB"/>
          </w:tcPr>
          <w:p>
            <w:r>
              <w:rPr>
                <w:sz w:val="17"/>
              </w:rPr>
              <w:t>Асинхронная отправка email через очередь (toggle UseAsyncEmailSender)</w:t>
            </w:r>
          </w:p>
        </w:tc>
      </w:tr>
      <w:tr>
        <w:tc>
          <w:tcPr>
            <w:tcW w:type="dxa" w:w="3118"/>
          </w:tcPr>
          <w:p>
            <w:r>
              <w:rPr>
                <w:sz w:val="17"/>
              </w:rPr>
              <w:t>UsrActivityCcEventListener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EntityEventListener</w:t>
              <w:br/>
              <w:t>(C#)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CTI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Активен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При входящем email — фиксирует CC в Case.UsrCcEmails;</w:t>
              <w:br/>
              <w:t>При создании исходящего email по обращению — добавляет CC из контракта и аккаунта клиента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964"/>
        </w:rPr>
        <w:t>8. Что сейчас не реализовано (GAP-ы)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25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Чего не хватает</w:t>
            </w:r>
          </w:p>
        </w:tc>
        <w:tc>
          <w:tcPr>
            <w:tcW w:type="dxa" w:w="793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Описание проблемы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Задача</w:t>
            </w:r>
          </w:p>
        </w:tc>
      </w:tr>
      <w:tr>
        <w:tc>
          <w:tcPr>
            <w:tcW w:type="dxa" w:w="2551"/>
            <w:shd w:val="clear" w:color="auto" w:fill="FCE4D6"/>
          </w:tcPr>
          <w:p>
            <w:r>
              <w:rPr>
                <w:sz w:val="17"/>
              </w:rPr>
              <w:t>Текст письма клиента</w:t>
              <w:br/>
              <w:t>в уведомлении инженеру</w:t>
            </w:r>
          </w:p>
        </w:tc>
        <w:tc>
          <w:tcPr>
            <w:tcW w:type="dxa" w:w="7937"/>
            <w:shd w:val="clear" w:color="auto" w:fill="FCE4D6"/>
          </w:tcPr>
          <w:p>
            <w:r>
              <w:rPr>
                <w:sz w:val="17"/>
              </w:rPr>
              <w:t>Инженер получает «Получен новый email...», но без текста письма. Открывает BPMSoft, ищет обращение, читает переписку.</w:t>
            </w:r>
          </w:p>
        </w:tc>
        <w:tc>
          <w:tcPr>
            <w:tcW w:type="dxa" w:w="2268"/>
            <w:shd w:val="clear" w:color="auto" w:fill="FCE4D6"/>
          </w:tcPr>
          <w:p>
            <w:r>
              <w:rPr>
                <w:sz w:val="17"/>
              </w:rPr>
              <w:t>Задача 2.3 (приоритет 1)</w:t>
            </w:r>
          </w:p>
        </w:tc>
      </w:tr>
      <w:tr>
        <w:tc>
          <w:tcPr>
            <w:tcW w:type="dxa" w:w="2551"/>
            <w:shd w:val="clear" w:color="auto" w:fill="FFF2CC"/>
          </w:tcPr>
          <w:p>
            <w:r>
              <w:rPr>
                <w:sz w:val="17"/>
              </w:rPr>
              <w:t>Напоминание о зависании</w:t>
              <w:br/>
              <w:t>в «Получен ответ»</w:t>
            </w:r>
          </w:p>
        </w:tc>
        <w:tc>
          <w:tcPr>
            <w:tcW w:type="dxa" w:w="7937"/>
            <w:shd w:val="clear" w:color="auto" w:fill="FFF2CC"/>
          </w:tcPr>
          <w:p>
            <w:r>
              <w:rPr>
                <w:sz w:val="17"/>
              </w:rPr>
              <w:t>Если инженер не отреагировал — никто не напоминает.</w:t>
            </w:r>
          </w:p>
        </w:tc>
        <w:tc>
          <w:tcPr>
            <w:tcW w:type="dxa" w:w="2268"/>
            <w:shd w:val="clear" w:color="auto" w:fill="FFF2CC"/>
          </w:tcPr>
          <w:p>
            <w:r>
              <w:rPr>
                <w:sz w:val="17"/>
              </w:rPr>
              <w:t>Задача 2.2</w:t>
            </w:r>
          </w:p>
        </w:tc>
      </w:tr>
      <w:tr>
        <w:tc>
          <w:tcPr>
            <w:tcW w:type="dxa" w:w="2551"/>
            <w:shd w:val="clear" w:color="auto" w:fill="FCE4D6"/>
          </w:tcPr>
          <w:p>
            <w:r>
              <w:rPr>
                <w:sz w:val="17"/>
              </w:rPr>
              <w:t>SLA-предупреждения</w:t>
              <w:br/>
              <w:t>(75% / 85% / 95%)</w:t>
            </w:r>
          </w:p>
        </w:tc>
        <w:tc>
          <w:tcPr>
            <w:tcW w:type="dxa" w:w="7937"/>
            <w:shd w:val="clear" w:color="auto" w:fill="FCE4D6"/>
          </w:tcPr>
          <w:p>
            <w:r>
              <w:rPr>
                <w:sz w:val="17"/>
              </w:rPr>
              <w:t>Система считает SLA и показывает цвет на странице, но email не шлёт.</w:t>
            </w:r>
          </w:p>
        </w:tc>
        <w:tc>
          <w:tcPr>
            <w:tcW w:type="dxa" w:w="2268"/>
            <w:shd w:val="clear" w:color="auto" w:fill="FCE4D6"/>
          </w:tcPr>
          <w:p>
            <w:r>
              <w:rPr>
                <w:sz w:val="17"/>
              </w:rPr>
              <w:t>Задача 2.1</w:t>
            </w:r>
          </w:p>
        </w:tc>
      </w:tr>
      <w:tr>
        <w:tc>
          <w:tcPr>
            <w:tcW w:type="dxa" w:w="2551"/>
            <w:shd w:val="clear" w:color="auto" w:fill="FFF2CC"/>
          </w:tcPr>
          <w:p>
            <w:r>
              <w:rPr>
                <w:sz w:val="17"/>
              </w:rPr>
              <w:t>Уведомления инженеру</w:t>
              <w:br/>
              <w:t>о сменах статуса</w:t>
            </w:r>
          </w:p>
        </w:tc>
        <w:tc>
          <w:tcPr>
            <w:tcW w:type="dxa" w:w="7937"/>
            <w:shd w:val="clear" w:color="auto" w:fill="FFF2CC"/>
          </w:tcPr>
          <w:p>
            <w:r>
              <w:rPr>
                <w:sz w:val="17"/>
              </w:rPr>
              <w:t>Инженер получает только «назначение» и «новый email». Переходы (эскалация, переоткрытие и др.) — без уведомлений.</w:t>
            </w:r>
          </w:p>
        </w:tc>
        <w:tc>
          <w:tcPr>
            <w:tcW w:type="dxa" w:w="2268"/>
            <w:shd w:val="clear" w:color="auto" w:fill="FFF2CC"/>
          </w:tcPr>
          <w:p>
            <w:r>
              <w:rPr>
                <w:sz w:val="17"/>
              </w:rPr>
              <w:t>Задача 2.4</w:t>
            </w:r>
          </w:p>
        </w:tc>
      </w:tr>
      <w:tr>
        <w:tc>
          <w:tcPr>
            <w:tcW w:type="dxa" w:w="2551"/>
            <w:shd w:val="clear" w:color="auto" w:fill="FCE4D6"/>
          </w:tcPr>
          <w:p>
            <w:r>
              <w:rPr>
                <w:sz w:val="17"/>
              </w:rPr>
              <w:t>Подписка (роль наблюдателя)</w:t>
            </w:r>
          </w:p>
        </w:tc>
        <w:tc>
          <w:tcPr>
            <w:tcW w:type="dxa" w:w="7937"/>
            <w:shd w:val="clear" w:color="auto" w:fill="FCE4D6"/>
          </w:tcPr>
          <w:p>
            <w:r>
              <w:rPr>
                <w:sz w:val="17"/>
              </w:rPr>
              <w:t>Нельзя следить за обращением без назначения ответственным.</w:t>
            </w:r>
          </w:p>
        </w:tc>
        <w:tc>
          <w:tcPr>
            <w:tcW w:type="dxa" w:w="2268"/>
            <w:shd w:val="clear" w:color="auto" w:fill="FCE4D6"/>
          </w:tcPr>
          <w:p>
            <w:r>
              <w:rPr>
                <w:sz w:val="17"/>
              </w:rPr>
              <w:t>Задача 2.5</w:t>
            </w:r>
          </w:p>
        </w:tc>
      </w:tr>
    </w:tbl>
    <w:sectPr w:rsidR="00FC693F" w:rsidRPr="0006063C" w:rsidSect="00034616">
      <w:pgSz w:w="15840" w:h="122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