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FAA75" w14:textId="6D17BCAF" w:rsidR="00F226CC" w:rsidRPr="00F226CC" w:rsidRDefault="00F226CC" w:rsidP="00F226CC">
      <w:pPr>
        <w:pStyle w:val="Title"/>
        <w:rPr>
          <w:sz w:val="40"/>
          <w:szCs w:val="40"/>
        </w:rPr>
      </w:pPr>
      <w:r w:rsidRPr="00F226CC">
        <w:rPr>
          <w:sz w:val="40"/>
          <w:szCs w:val="40"/>
        </w:rPr>
        <w:t>Disease Surveillance Repository</w:t>
      </w:r>
    </w:p>
    <w:p w14:paraId="39DF312E" w14:textId="5DCA895E" w:rsidR="00F226CC" w:rsidRDefault="00F226CC">
      <w:r>
        <w:t>2024-12-23</w:t>
      </w:r>
    </w:p>
    <w:p w14:paraId="571E6E61" w14:textId="2E4F63BA" w:rsidR="00F226CC" w:rsidRDefault="00F226CC" w:rsidP="00F226CC">
      <w:pPr>
        <w:pStyle w:val="Heading1"/>
      </w:pPr>
      <w:r>
        <w:t>1.0 Introduction</w:t>
      </w:r>
    </w:p>
    <w:p w14:paraId="63D8964B" w14:textId="3FDE2AB6" w:rsidR="009A6F60" w:rsidRDefault="00F226CC" w:rsidP="003A6857">
      <w:pPr>
        <w:autoSpaceDE w:val="0"/>
        <w:autoSpaceDN w:val="0"/>
        <w:adjustRightInd w:val="0"/>
        <w:spacing w:after="12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F226CC">
        <w:rPr>
          <w:rFonts w:ascii="Cascadia Mono" w:hAnsi="Cascadia Mono" w:cs="Cascadia Mono"/>
          <w:color w:val="000000"/>
          <w:kern w:val="0"/>
          <w:highlight w:val="white"/>
        </w:rPr>
        <w:t>The purpose of this effort is to provide free and accessible base database schema for</w:t>
      </w:r>
      <w:r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F226CC">
        <w:rPr>
          <w:rFonts w:ascii="Cascadia Mono" w:hAnsi="Cascadia Mono" w:cs="Cascadia Mono"/>
          <w:color w:val="000000"/>
          <w:kern w:val="0"/>
          <w:highlight w:val="white"/>
        </w:rPr>
        <w:t>healthcare communicable diseases surveillance (disease tracking, monitoring, control, contact tracing, and infectious disease detection and response) in a simple design while being adaptable and flexible enough for daily on-line transaction processing.</w:t>
      </w:r>
    </w:p>
    <w:p w14:paraId="23FB2845" w14:textId="0E26069E" w:rsidR="00F226CC" w:rsidRDefault="00F226CC" w:rsidP="003A6857">
      <w:pPr>
        <w:autoSpaceDE w:val="0"/>
        <w:autoSpaceDN w:val="0"/>
        <w:adjustRightInd w:val="0"/>
        <w:spacing w:after="12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F226CC">
        <w:rPr>
          <w:rFonts w:ascii="Cascadia Mono" w:hAnsi="Cascadia Mono" w:cs="Cascadia Mono"/>
          <w:color w:val="000000"/>
          <w:kern w:val="0"/>
          <w:highlight w:val="white"/>
        </w:rPr>
        <w:t>The designed repository is not tailored to any specific disease but generic in nature and could support any related tracking effort based on a set of conditions.</w:t>
      </w:r>
      <w:r>
        <w:rPr>
          <w:rFonts w:ascii="Cascadia Mono" w:hAnsi="Cascadia Mono" w:cs="Cascadia Mono"/>
          <w:color w:val="000000"/>
          <w:kern w:val="0"/>
          <w:highlight w:val="white"/>
        </w:rPr>
        <w:t xml:space="preserve">  </w:t>
      </w:r>
      <w:r w:rsidRPr="00F226CC">
        <w:rPr>
          <w:rFonts w:ascii="Cascadia Mono" w:hAnsi="Cascadia Mono" w:cs="Cascadia Mono"/>
          <w:color w:val="000000"/>
          <w:kern w:val="0"/>
          <w:highlight w:val="white"/>
        </w:rPr>
        <w:t>Additionally, the model supports Healthcare services (programs) such as those supported by Psychosocial initiatives, mental health, substance abuse, and other community benefits to.</w:t>
      </w:r>
    </w:p>
    <w:p w14:paraId="03EA437A" w14:textId="413D1B2B" w:rsidR="00350CA7" w:rsidRDefault="00350CA7" w:rsidP="00350CA7">
      <w:pPr>
        <w:pStyle w:val="Heading2"/>
        <w:rPr>
          <w:highlight w:val="white"/>
        </w:rPr>
      </w:pPr>
      <w:r>
        <w:rPr>
          <w:highlight w:val="white"/>
        </w:rPr>
        <w:t>1.1 Business Areas</w:t>
      </w:r>
    </w:p>
    <w:p w14:paraId="49571099" w14:textId="3587FD84" w:rsidR="00350CA7" w:rsidRDefault="00350CA7" w:rsidP="003A6857">
      <w:pPr>
        <w:autoSpaceDE w:val="0"/>
        <w:autoSpaceDN w:val="0"/>
        <w:adjustRightInd w:val="0"/>
        <w:spacing w:after="12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highlight w:val="white"/>
        </w:rPr>
        <w:t xml:space="preserve">The Repository </w:t>
      </w:r>
      <w:r w:rsidR="00EF0926">
        <w:rPr>
          <w:rFonts w:ascii="Cascadia Mono" w:hAnsi="Cascadia Mono" w:cs="Cascadia Mono"/>
          <w:color w:val="000000"/>
          <w:kern w:val="0"/>
          <w:highlight w:val="white"/>
        </w:rPr>
        <w:t>covers</w:t>
      </w:r>
      <w:r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="00EF0926">
        <w:rPr>
          <w:rFonts w:ascii="Cascadia Mono" w:hAnsi="Cascadia Mono" w:cs="Cascadia Mono"/>
          <w:color w:val="000000"/>
          <w:kern w:val="0"/>
          <w:highlight w:val="white"/>
        </w:rPr>
        <w:t>various business</w:t>
      </w:r>
      <w:r w:rsidR="009C1008">
        <w:rPr>
          <w:rFonts w:ascii="Cascadia Mono" w:hAnsi="Cascadia Mono" w:cs="Cascadia Mono"/>
          <w:color w:val="000000"/>
          <w:kern w:val="0"/>
          <w:highlight w:val="white"/>
        </w:rPr>
        <w:t xml:space="preserve"> (data entities)</w:t>
      </w:r>
      <w:r w:rsidR="00EF0926">
        <w:rPr>
          <w:rFonts w:ascii="Cascadia Mono" w:hAnsi="Cascadia Mono" w:cs="Cascadia Mono"/>
          <w:color w:val="000000"/>
          <w:kern w:val="0"/>
          <w:highlight w:val="white"/>
        </w:rPr>
        <w:t xml:space="preserve"> areas that are generally referred in related CDC Communicable Disease reporting and others for general data management including: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E364A" w:rsidRPr="00BE364A" w14:paraId="7636E950" w14:textId="77777777" w:rsidTr="00BE364A">
        <w:tc>
          <w:tcPr>
            <w:tcW w:w="9350" w:type="dxa"/>
            <w:gridSpan w:val="2"/>
            <w:shd w:val="clear" w:color="auto" w:fill="F2F2F2" w:themeFill="background1" w:themeFillShade="F2"/>
          </w:tcPr>
          <w:p w14:paraId="2B8A5DA2" w14:textId="1CA03B39" w:rsidR="00BE364A" w:rsidRPr="00BE364A" w:rsidRDefault="00BE364A" w:rsidP="007B60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kern w:val="0"/>
              </w:rPr>
            </w:pPr>
            <w:r w:rsidRPr="00BE364A">
              <w:rPr>
                <w:rFonts w:ascii="Cascadia Mono" w:hAnsi="Cascadia Mono" w:cs="Cascadia Mono"/>
                <w:b/>
                <w:bCs/>
                <w:color w:val="000000"/>
                <w:kern w:val="0"/>
              </w:rPr>
              <w:t>General Data Management</w:t>
            </w:r>
          </w:p>
        </w:tc>
      </w:tr>
      <w:tr w:rsidR="00EF0926" w:rsidRPr="00EF0926" w14:paraId="74BCA207" w14:textId="77777777" w:rsidTr="00EF0926">
        <w:tc>
          <w:tcPr>
            <w:tcW w:w="1615" w:type="dxa"/>
          </w:tcPr>
          <w:p w14:paraId="0BFB19E7" w14:textId="77777777" w:rsidR="00EF0926" w:rsidRPr="00EF0926" w:rsidRDefault="00EF0926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 w:rsidRPr="00EF0926">
              <w:rPr>
                <w:rFonts w:ascii="Cascadia Mono" w:hAnsi="Cascadia Mono" w:cs="Cascadia Mono"/>
                <w:color w:val="000000"/>
                <w:kern w:val="0"/>
              </w:rPr>
              <w:t>Action</w:t>
            </w:r>
          </w:p>
        </w:tc>
        <w:tc>
          <w:tcPr>
            <w:tcW w:w="7735" w:type="dxa"/>
          </w:tcPr>
          <w:p w14:paraId="3B1D7920" w14:textId="328EE3BA" w:rsidR="00EF0926" w:rsidRPr="00EF0926" w:rsidRDefault="00BE364A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>
              <w:rPr>
                <w:rFonts w:ascii="Cascadia Mono" w:hAnsi="Cascadia Mono" w:cs="Cascadia Mono"/>
                <w:color w:val="000000"/>
                <w:kern w:val="0"/>
              </w:rPr>
              <w:t xml:space="preserve">This namespace contains data components related to Activities, Events, and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</w:rPr>
              <w:t>Actionables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</w:rPr>
              <w:t>.</w:t>
            </w:r>
          </w:p>
        </w:tc>
      </w:tr>
      <w:tr w:rsidR="00EF0926" w:rsidRPr="00EF0926" w14:paraId="27BCBC47" w14:textId="77777777" w:rsidTr="00EF0926">
        <w:tc>
          <w:tcPr>
            <w:tcW w:w="1615" w:type="dxa"/>
          </w:tcPr>
          <w:p w14:paraId="03A0EBD8" w14:textId="77777777" w:rsidR="00EF0926" w:rsidRPr="00EF0926" w:rsidRDefault="00EF0926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 w:rsidRPr="00EF0926">
              <w:rPr>
                <w:rFonts w:ascii="Cascadia Mono" w:hAnsi="Cascadia Mono" w:cs="Cascadia Mono"/>
                <w:color w:val="000000"/>
                <w:kern w:val="0"/>
              </w:rPr>
              <w:t>Application</w:t>
            </w:r>
          </w:p>
        </w:tc>
        <w:tc>
          <w:tcPr>
            <w:tcW w:w="7735" w:type="dxa"/>
          </w:tcPr>
          <w:p w14:paraId="4F847657" w14:textId="4181DD8A" w:rsidR="00EF0926" w:rsidRPr="00EF0926" w:rsidRDefault="009D6D23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>
              <w:rPr>
                <w:rFonts w:ascii="Cascadia Mono" w:hAnsi="Cascadia Mono" w:cs="Cascadia Mono"/>
                <w:color w:val="000000"/>
                <w:kern w:val="0"/>
              </w:rPr>
              <w:t xml:space="preserve">Data Components related to an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</w:rPr>
              <w:t>Application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</w:rPr>
              <w:t>.</w:t>
            </w:r>
          </w:p>
        </w:tc>
      </w:tr>
      <w:tr w:rsidR="00EF0926" w:rsidRPr="00EF0926" w14:paraId="796274D5" w14:textId="77777777" w:rsidTr="00EF0926">
        <w:tc>
          <w:tcPr>
            <w:tcW w:w="1615" w:type="dxa"/>
          </w:tcPr>
          <w:p w14:paraId="0E8FAD03" w14:textId="77777777" w:rsidR="00EF0926" w:rsidRPr="00EF0926" w:rsidRDefault="00EF0926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 w:rsidRPr="00EF0926">
              <w:rPr>
                <w:rFonts w:ascii="Cascadia Mono" w:hAnsi="Cascadia Mono" w:cs="Cascadia Mono"/>
                <w:color w:val="000000"/>
                <w:kern w:val="0"/>
              </w:rPr>
              <w:t>Article</w:t>
            </w:r>
          </w:p>
        </w:tc>
        <w:tc>
          <w:tcPr>
            <w:tcW w:w="7735" w:type="dxa"/>
          </w:tcPr>
          <w:p w14:paraId="38ED0EED" w14:textId="6CD47ED8" w:rsidR="00EF0926" w:rsidRPr="00EF0926" w:rsidRDefault="007F459F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>
              <w:rPr>
                <w:rFonts w:ascii="Cascadia Mono" w:hAnsi="Cascadia Mono" w:cs="Cascadia Mono"/>
                <w:color w:val="000000"/>
                <w:kern w:val="0"/>
              </w:rPr>
              <w:t>Data Components to register or manage Items, such as vehicles or other artifacts.</w:t>
            </w:r>
          </w:p>
        </w:tc>
      </w:tr>
      <w:tr w:rsidR="00EF0926" w:rsidRPr="00EF0926" w14:paraId="528E0B46" w14:textId="77777777" w:rsidTr="00EF0926">
        <w:tc>
          <w:tcPr>
            <w:tcW w:w="1615" w:type="dxa"/>
          </w:tcPr>
          <w:p w14:paraId="787171D7" w14:textId="77777777" w:rsidR="00EF0926" w:rsidRPr="00EF0926" w:rsidRDefault="00EF0926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 w:rsidRPr="00EF0926">
              <w:rPr>
                <w:rFonts w:ascii="Cascadia Mono" w:hAnsi="Cascadia Mono" w:cs="Cascadia Mono"/>
                <w:color w:val="000000"/>
                <w:kern w:val="0"/>
              </w:rPr>
              <w:t>Entity</w:t>
            </w:r>
          </w:p>
        </w:tc>
        <w:tc>
          <w:tcPr>
            <w:tcW w:w="7735" w:type="dxa"/>
          </w:tcPr>
          <w:p w14:paraId="33294D7A" w14:textId="79528B58" w:rsidR="00EF0926" w:rsidRPr="00EF0926" w:rsidRDefault="007F459F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>
              <w:rPr>
                <w:rFonts w:ascii="Cascadia Mono" w:hAnsi="Cascadia Mono" w:cs="Cascadia Mono"/>
                <w:color w:val="000000"/>
                <w:kern w:val="0"/>
              </w:rPr>
              <w:t xml:space="preserve">Data Components such as Organizations, Officers, </w:t>
            </w:r>
            <w:r w:rsidR="00CC6508">
              <w:rPr>
                <w:rFonts w:ascii="Cascadia Mono" w:hAnsi="Cascadia Mono" w:cs="Cascadia Mono"/>
                <w:color w:val="000000"/>
                <w:kern w:val="0"/>
              </w:rPr>
              <w:t>Person, and Contacts.</w:t>
            </w:r>
          </w:p>
        </w:tc>
      </w:tr>
      <w:tr w:rsidR="00BE364A" w:rsidRPr="00EF0926" w14:paraId="6A71CE49" w14:textId="77777777" w:rsidTr="007B60FC">
        <w:tc>
          <w:tcPr>
            <w:tcW w:w="1615" w:type="dxa"/>
          </w:tcPr>
          <w:p w14:paraId="423AA899" w14:textId="77777777" w:rsidR="00BE364A" w:rsidRPr="00EF0926" w:rsidRDefault="00BE364A" w:rsidP="007B60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 w:rsidRPr="00EF0926">
              <w:rPr>
                <w:rFonts w:ascii="Cascadia Mono" w:hAnsi="Cascadia Mono" w:cs="Cascadia Mono"/>
                <w:color w:val="000000"/>
                <w:kern w:val="0"/>
              </w:rPr>
              <w:t>Generic</w:t>
            </w:r>
          </w:p>
        </w:tc>
        <w:tc>
          <w:tcPr>
            <w:tcW w:w="7735" w:type="dxa"/>
          </w:tcPr>
          <w:p w14:paraId="5F62C022" w14:textId="226FFF57" w:rsidR="00BE364A" w:rsidRPr="00EF0926" w:rsidRDefault="00CC6508" w:rsidP="007B60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>
              <w:rPr>
                <w:rFonts w:ascii="Cascadia Mono" w:hAnsi="Cascadia Mono" w:cs="Cascadia Mono"/>
                <w:color w:val="000000"/>
                <w:kern w:val="0"/>
              </w:rPr>
              <w:t>Generic Data Components based on Entities and Elements definitions for extensibility.</w:t>
            </w:r>
          </w:p>
        </w:tc>
      </w:tr>
      <w:tr w:rsidR="00BE364A" w:rsidRPr="00EF0926" w14:paraId="3CC87A98" w14:textId="77777777" w:rsidTr="007B60FC">
        <w:tc>
          <w:tcPr>
            <w:tcW w:w="1615" w:type="dxa"/>
          </w:tcPr>
          <w:p w14:paraId="2B03C2FA" w14:textId="77777777" w:rsidR="00BE364A" w:rsidRPr="00EF0926" w:rsidRDefault="00BE364A" w:rsidP="007B60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 w:rsidRPr="00EF0926">
              <w:rPr>
                <w:rFonts w:ascii="Cascadia Mono" w:hAnsi="Cascadia Mono" w:cs="Cascadia Mono"/>
                <w:color w:val="000000"/>
                <w:kern w:val="0"/>
              </w:rPr>
              <w:t>Geography</w:t>
            </w:r>
          </w:p>
        </w:tc>
        <w:tc>
          <w:tcPr>
            <w:tcW w:w="7735" w:type="dxa"/>
          </w:tcPr>
          <w:p w14:paraId="4A5BBF58" w14:textId="38DB617C" w:rsidR="00BE364A" w:rsidRPr="00EF0926" w:rsidRDefault="000F5A84" w:rsidP="007B60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>
              <w:rPr>
                <w:rFonts w:ascii="Cascadia Mono" w:hAnsi="Cascadia Mono" w:cs="Cascadia Mono"/>
                <w:color w:val="000000"/>
                <w:kern w:val="0"/>
              </w:rPr>
              <w:t>Locations with Geo-Coordinates support and Census division-subdivisions, Zip</w:t>
            </w:r>
            <w:r w:rsidR="00BC725A">
              <w:rPr>
                <w:rFonts w:ascii="Cascadia Mono" w:hAnsi="Cascadia Mono" w:cs="Cascadia Mono"/>
                <w:color w:val="000000"/>
                <w:kern w:val="0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</w:rPr>
              <w:t>Codes and others.</w:t>
            </w:r>
          </w:p>
        </w:tc>
      </w:tr>
      <w:tr w:rsidR="00BE364A" w:rsidRPr="00EF0926" w14:paraId="5C8FB907" w14:textId="77777777" w:rsidTr="007B60FC">
        <w:tc>
          <w:tcPr>
            <w:tcW w:w="1615" w:type="dxa"/>
          </w:tcPr>
          <w:p w14:paraId="7213FB13" w14:textId="77777777" w:rsidR="00BE364A" w:rsidRPr="00EF0926" w:rsidRDefault="00BE364A" w:rsidP="007B60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 w:rsidRPr="00EF0926">
              <w:rPr>
                <w:rFonts w:ascii="Cascadia Mono" w:hAnsi="Cascadia Mono" w:cs="Cascadia Mono"/>
                <w:color w:val="000000"/>
                <w:kern w:val="0"/>
              </w:rPr>
              <w:t>Helper</w:t>
            </w:r>
          </w:p>
        </w:tc>
        <w:tc>
          <w:tcPr>
            <w:tcW w:w="7735" w:type="dxa"/>
          </w:tcPr>
          <w:p w14:paraId="0393EA4A" w14:textId="3AA163D8" w:rsidR="00BE364A" w:rsidRPr="00EF0926" w:rsidRDefault="003819AA" w:rsidP="007B60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>
              <w:rPr>
                <w:rFonts w:ascii="Cascadia Mono" w:hAnsi="Cascadia Mono" w:cs="Cascadia Mono"/>
                <w:color w:val="000000"/>
                <w:kern w:val="0"/>
              </w:rPr>
              <w:t>Generic store procedures, Helpers and other to help search or define structures.</w:t>
            </w:r>
          </w:p>
        </w:tc>
      </w:tr>
      <w:tr w:rsidR="00BE364A" w:rsidRPr="00EF0926" w14:paraId="7CCB1560" w14:textId="77777777" w:rsidTr="007B60FC">
        <w:tc>
          <w:tcPr>
            <w:tcW w:w="1615" w:type="dxa"/>
          </w:tcPr>
          <w:p w14:paraId="385A1C9B" w14:textId="77777777" w:rsidR="00BE364A" w:rsidRPr="00EF0926" w:rsidRDefault="00BE364A" w:rsidP="007B60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 w:rsidRPr="00EF0926">
              <w:rPr>
                <w:rFonts w:ascii="Cascadia Mono" w:hAnsi="Cascadia Mono" w:cs="Cascadia Mono"/>
                <w:color w:val="000000"/>
                <w:kern w:val="0"/>
              </w:rPr>
              <w:t>Message</w:t>
            </w:r>
          </w:p>
        </w:tc>
        <w:tc>
          <w:tcPr>
            <w:tcW w:w="7735" w:type="dxa"/>
          </w:tcPr>
          <w:p w14:paraId="74084850" w14:textId="1E24E974" w:rsidR="00BE364A" w:rsidRPr="00EF0926" w:rsidRDefault="003819AA" w:rsidP="007B60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>
              <w:rPr>
                <w:rFonts w:ascii="Cascadia Mono" w:hAnsi="Cascadia Mono" w:cs="Cascadia Mono"/>
                <w:color w:val="000000"/>
                <w:kern w:val="0"/>
              </w:rPr>
              <w:t>Support to store/register BLOB(s), text messages, JSON (or XML) documents, and other.</w:t>
            </w:r>
          </w:p>
        </w:tc>
      </w:tr>
      <w:tr w:rsidR="00BE364A" w:rsidRPr="00BE364A" w14:paraId="1F1DED29" w14:textId="77777777" w:rsidTr="007B60FC">
        <w:tc>
          <w:tcPr>
            <w:tcW w:w="9350" w:type="dxa"/>
            <w:gridSpan w:val="2"/>
            <w:shd w:val="clear" w:color="auto" w:fill="F2F2F2" w:themeFill="background1" w:themeFillShade="F2"/>
          </w:tcPr>
          <w:p w14:paraId="224729DE" w14:textId="3E5B525B" w:rsidR="00BE364A" w:rsidRPr="00BE364A" w:rsidRDefault="00BE364A" w:rsidP="007B60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kern w:val="0"/>
              </w:rPr>
            </w:pPr>
            <w:r>
              <w:rPr>
                <w:rFonts w:ascii="Cascadia Mono" w:hAnsi="Cascadia Mono" w:cs="Cascadia Mono"/>
                <w:b/>
                <w:bCs/>
                <w:color w:val="000000"/>
                <w:kern w:val="0"/>
              </w:rPr>
              <w:t>Health Care Data Management</w:t>
            </w:r>
          </w:p>
        </w:tc>
      </w:tr>
      <w:tr w:rsidR="00BE364A" w:rsidRPr="00EF0926" w14:paraId="5CCE987D" w14:textId="77777777" w:rsidTr="007B60FC">
        <w:tc>
          <w:tcPr>
            <w:tcW w:w="1615" w:type="dxa"/>
          </w:tcPr>
          <w:p w14:paraId="4329E1B2" w14:textId="77777777" w:rsidR="00BE364A" w:rsidRPr="00EF0926" w:rsidRDefault="00BE364A" w:rsidP="007B60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 w:rsidRPr="00EF0926">
              <w:rPr>
                <w:rFonts w:ascii="Cascadia Mono" w:hAnsi="Cascadia Mono" w:cs="Cascadia Mono"/>
                <w:color w:val="000000"/>
                <w:kern w:val="0"/>
              </w:rPr>
              <w:t>Clinical</w:t>
            </w:r>
          </w:p>
        </w:tc>
        <w:tc>
          <w:tcPr>
            <w:tcW w:w="7735" w:type="dxa"/>
          </w:tcPr>
          <w:p w14:paraId="38C4466D" w14:textId="642C65A6" w:rsidR="00BE364A" w:rsidRPr="00EF0926" w:rsidRDefault="00A83A86" w:rsidP="007B60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>
              <w:rPr>
                <w:rFonts w:ascii="Cascadia Mono" w:hAnsi="Cascadia Mono" w:cs="Cascadia Mono"/>
                <w:color w:val="000000"/>
                <w:kern w:val="0"/>
              </w:rPr>
              <w:t>Clinical patient information along other related information (vaccine, immunization, virus, and other).</w:t>
            </w:r>
          </w:p>
        </w:tc>
      </w:tr>
      <w:tr w:rsidR="00EF0926" w:rsidRPr="00EF0926" w14:paraId="0BC4606B" w14:textId="77777777" w:rsidTr="00EF0926">
        <w:tc>
          <w:tcPr>
            <w:tcW w:w="1615" w:type="dxa"/>
          </w:tcPr>
          <w:p w14:paraId="2E5360FC" w14:textId="77777777" w:rsidR="00EF0926" w:rsidRPr="00EF0926" w:rsidRDefault="00EF0926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 w:rsidRPr="00EF0926">
              <w:rPr>
                <w:rFonts w:ascii="Cascadia Mono" w:hAnsi="Cascadia Mono" w:cs="Cascadia Mono"/>
                <w:color w:val="000000"/>
                <w:kern w:val="0"/>
              </w:rPr>
              <w:t>Epidemiology</w:t>
            </w:r>
          </w:p>
        </w:tc>
        <w:tc>
          <w:tcPr>
            <w:tcW w:w="7735" w:type="dxa"/>
          </w:tcPr>
          <w:p w14:paraId="4FBC743E" w14:textId="5E41137D" w:rsidR="00EF0926" w:rsidRPr="00EF0926" w:rsidRDefault="00A83A86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>
              <w:rPr>
                <w:rFonts w:ascii="Cascadia Mono" w:hAnsi="Cascadia Mono" w:cs="Cascadia Mono"/>
                <w:color w:val="000000"/>
                <w:kern w:val="0"/>
              </w:rPr>
              <w:t>Specimens, Laboratory and related Data Components.</w:t>
            </w:r>
          </w:p>
        </w:tc>
      </w:tr>
      <w:tr w:rsidR="00EF0926" w:rsidRPr="00EF0926" w14:paraId="102DB982" w14:textId="77777777" w:rsidTr="00EF0926">
        <w:tc>
          <w:tcPr>
            <w:tcW w:w="1615" w:type="dxa"/>
          </w:tcPr>
          <w:p w14:paraId="245D0287" w14:textId="77777777" w:rsidR="00EF0926" w:rsidRPr="00EF0926" w:rsidRDefault="00EF0926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 w:rsidRPr="00EF0926">
              <w:rPr>
                <w:rFonts w:ascii="Cascadia Mono" w:hAnsi="Cascadia Mono" w:cs="Cascadia Mono"/>
                <w:color w:val="000000"/>
                <w:kern w:val="0"/>
              </w:rPr>
              <w:t>Management</w:t>
            </w:r>
          </w:p>
        </w:tc>
        <w:tc>
          <w:tcPr>
            <w:tcW w:w="7735" w:type="dxa"/>
          </w:tcPr>
          <w:p w14:paraId="1F36B0EA" w14:textId="7D913D4C" w:rsidR="00EF0926" w:rsidRPr="00EF0926" w:rsidRDefault="00A83A86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>
              <w:rPr>
                <w:rFonts w:ascii="Cascadia Mono" w:hAnsi="Cascadia Mono" w:cs="Cascadia Mono"/>
                <w:color w:val="000000"/>
                <w:kern w:val="0"/>
              </w:rPr>
              <w:t xml:space="preserve">Cases, </w:t>
            </w:r>
            <w:r w:rsidR="00DF792B">
              <w:rPr>
                <w:rFonts w:ascii="Cascadia Mono" w:hAnsi="Cascadia Mono" w:cs="Cascadia Mono"/>
                <w:color w:val="000000"/>
                <w:kern w:val="0"/>
              </w:rPr>
              <w:t>referrals, requests, assignments, and dispositions along other related Data Components.</w:t>
            </w:r>
          </w:p>
        </w:tc>
      </w:tr>
      <w:tr w:rsidR="00EF0926" w:rsidRPr="00EF0926" w14:paraId="2DC8B2B4" w14:textId="77777777" w:rsidTr="00EF0926">
        <w:tc>
          <w:tcPr>
            <w:tcW w:w="1615" w:type="dxa"/>
          </w:tcPr>
          <w:p w14:paraId="62DAE9A7" w14:textId="77777777" w:rsidR="00EF0926" w:rsidRPr="00EF0926" w:rsidRDefault="00EF0926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 w:rsidRPr="00EF0926">
              <w:rPr>
                <w:rFonts w:ascii="Cascadia Mono" w:hAnsi="Cascadia Mono" w:cs="Cascadia Mono"/>
                <w:color w:val="000000"/>
                <w:kern w:val="0"/>
              </w:rPr>
              <w:t>Provider</w:t>
            </w:r>
          </w:p>
        </w:tc>
        <w:tc>
          <w:tcPr>
            <w:tcW w:w="7735" w:type="dxa"/>
          </w:tcPr>
          <w:p w14:paraId="03429E89" w14:textId="1F648718" w:rsidR="00EF0926" w:rsidRPr="00EF0926" w:rsidRDefault="00385A52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>
              <w:rPr>
                <w:rFonts w:ascii="Cascadia Mono" w:hAnsi="Cascadia Mono" w:cs="Cascadia Mono"/>
                <w:color w:val="000000"/>
                <w:kern w:val="0"/>
              </w:rPr>
              <w:t>Provider credentials and related information.</w:t>
            </w:r>
          </w:p>
        </w:tc>
      </w:tr>
      <w:tr w:rsidR="00EF0926" w:rsidRPr="00EF0926" w14:paraId="57E6115F" w14:textId="77777777" w:rsidTr="00EF0926">
        <w:tc>
          <w:tcPr>
            <w:tcW w:w="1615" w:type="dxa"/>
          </w:tcPr>
          <w:p w14:paraId="077C816F" w14:textId="77777777" w:rsidR="00EF0926" w:rsidRPr="00EF0926" w:rsidRDefault="00EF0926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</w:rPr>
            </w:pPr>
            <w:r w:rsidRPr="00EF0926">
              <w:rPr>
                <w:rFonts w:ascii="Cascadia Mono" w:hAnsi="Cascadia Mono" w:cs="Cascadia Mono"/>
                <w:color w:val="000000"/>
                <w:kern w:val="0"/>
              </w:rPr>
              <w:lastRenderedPageBreak/>
              <w:t>Surveillance</w:t>
            </w:r>
          </w:p>
        </w:tc>
        <w:tc>
          <w:tcPr>
            <w:tcW w:w="7735" w:type="dxa"/>
          </w:tcPr>
          <w:p w14:paraId="4E7E21DE" w14:textId="6F43643E" w:rsidR="00EF0926" w:rsidRPr="00EF0926" w:rsidRDefault="00385A52" w:rsidP="00EF09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highlight w:val="white"/>
              </w:rPr>
              <w:t>Profiles, assessments and reporting related Data Components.</w:t>
            </w:r>
          </w:p>
        </w:tc>
      </w:tr>
    </w:tbl>
    <w:p w14:paraId="7F5416BE" w14:textId="6EC701CA" w:rsidR="00BC3C73" w:rsidRDefault="00BC3C73" w:rsidP="00BC3C73">
      <w:pPr>
        <w:pStyle w:val="Heading1"/>
        <w:rPr>
          <w:highlight w:val="white"/>
        </w:rPr>
      </w:pPr>
      <w:r>
        <w:rPr>
          <w:highlight w:val="white"/>
        </w:rPr>
        <w:t>2.0 Business Data Components</w:t>
      </w:r>
    </w:p>
    <w:p w14:paraId="688543D1" w14:textId="72FE91E3" w:rsidR="00BC3C73" w:rsidRDefault="00BC3C73" w:rsidP="003A6857">
      <w:pPr>
        <w:autoSpaceDE w:val="0"/>
        <w:autoSpaceDN w:val="0"/>
        <w:adjustRightInd w:val="0"/>
        <w:spacing w:after="12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highlight w:val="white"/>
        </w:rPr>
        <w:t>This section contains ERD’s of primary business data components and areas that show</w:t>
      </w:r>
      <w:r w:rsidR="00473556">
        <w:rPr>
          <w:rFonts w:ascii="Cascadia Mono" w:hAnsi="Cascadia Mono" w:cs="Cascadia Mono"/>
          <w:color w:val="000000"/>
          <w:kern w:val="0"/>
          <w:highlight w:val="white"/>
        </w:rPr>
        <w:t xml:space="preserve"> the data components tables, data elements (columns) and their relationships.</w:t>
      </w:r>
    </w:p>
    <w:p w14:paraId="0A866CB5" w14:textId="6931F4F1" w:rsidR="00BC3C73" w:rsidRDefault="00BC3C73" w:rsidP="00BC3C73">
      <w:pPr>
        <w:pStyle w:val="Heading2"/>
        <w:rPr>
          <w:highlight w:val="white"/>
        </w:rPr>
      </w:pPr>
      <w:r>
        <w:rPr>
          <w:highlight w:val="white"/>
        </w:rPr>
        <w:t>2.1 Management – Cases and Follow-Up</w:t>
      </w:r>
    </w:p>
    <w:p w14:paraId="08BED4B3" w14:textId="1D0849DA" w:rsidR="00BC3C73" w:rsidRDefault="009B678B" w:rsidP="003A6857">
      <w:pPr>
        <w:autoSpaceDE w:val="0"/>
        <w:autoSpaceDN w:val="0"/>
        <w:adjustRightInd w:val="0"/>
        <w:spacing w:after="12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highlight w:val="white"/>
        </w:rPr>
        <w:t>As shown in Figure</w:t>
      </w:r>
      <w:r w:rsidR="00530AB2">
        <w:rPr>
          <w:rFonts w:ascii="Cascadia Mono" w:hAnsi="Cascadia Mono" w:cs="Cascadia Mono"/>
          <w:color w:val="000000"/>
          <w:kern w:val="0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highlight w:val="white"/>
        </w:rPr>
        <w:t xml:space="preserve"> 2.1</w:t>
      </w:r>
      <w:r w:rsidR="00530AB2">
        <w:rPr>
          <w:rFonts w:ascii="Cascadia Mono" w:hAnsi="Cascadia Mono" w:cs="Cascadia Mono"/>
          <w:color w:val="000000"/>
          <w:kern w:val="0"/>
          <w:highlight w:val="white"/>
        </w:rPr>
        <w:t xml:space="preserve"> and 2.2</w:t>
      </w:r>
      <w:r>
        <w:rPr>
          <w:rFonts w:ascii="Cascadia Mono" w:hAnsi="Cascadia Mono" w:cs="Cascadia Mono"/>
          <w:color w:val="000000"/>
          <w:kern w:val="0"/>
          <w:highlight w:val="white"/>
        </w:rPr>
        <w:t>, a</w:t>
      </w:r>
      <w:r w:rsidR="00796283">
        <w:rPr>
          <w:rFonts w:ascii="Cascadia Mono" w:hAnsi="Cascadia Mono" w:cs="Cascadia Mono"/>
          <w:color w:val="000000"/>
          <w:kern w:val="0"/>
          <w:highlight w:val="white"/>
        </w:rPr>
        <w:t xml:space="preserve">gencies that manage health Programs related to Communicable Diseases such as Tuberculosis, COVID 19, and others track those cases investigation and follow-up through referrals and requests </w:t>
      </w:r>
      <w:r>
        <w:rPr>
          <w:rFonts w:ascii="Cascadia Mono" w:hAnsi="Cascadia Mono" w:cs="Cascadia Mono"/>
          <w:color w:val="000000"/>
          <w:kern w:val="0"/>
          <w:highlight w:val="white"/>
        </w:rPr>
        <w:t>and to support these efforts.</w:t>
      </w:r>
    </w:p>
    <w:p w14:paraId="2A7A3BE3" w14:textId="77777777" w:rsidR="00BC3C73" w:rsidRDefault="00BC3C73" w:rsidP="003A6857">
      <w:pPr>
        <w:autoSpaceDE w:val="0"/>
        <w:autoSpaceDN w:val="0"/>
        <w:adjustRightInd w:val="0"/>
        <w:spacing w:after="12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</w:p>
    <w:p w14:paraId="047B7200" w14:textId="10CE18EE" w:rsidR="00530AB2" w:rsidRDefault="00530AB2" w:rsidP="00530AB2">
      <w:pPr>
        <w:autoSpaceDE w:val="0"/>
        <w:autoSpaceDN w:val="0"/>
        <w:adjustRightInd w:val="0"/>
        <w:spacing w:after="120" w:line="240" w:lineRule="auto"/>
        <w:jc w:val="center"/>
      </w:pPr>
      <w:r>
        <w:fldChar w:fldCharType="begin"/>
      </w:r>
      <w:r>
        <w:instrText xml:space="preserve"> INCLUDEPICTURE "https://documents.lucid.app/documents/03a0d95e-a47e-4b3d-ac9b-0413eb5b7c22/pages/0_0?a=896&amp;x=1648&amp;y=-418&amp;w=1564&amp;h=1256&amp;store=1&amp;accept=image%2F*&amp;auth=LCA%20a5944db6b75663eefa2df1872de1c22d7d035cf8fa1fbe4e2e3117a543dcf14a-ts%3D1734978751"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5BBBB5" wp14:editId="4F01EC85">
            <wp:extent cx="5942806" cy="4242535"/>
            <wp:effectExtent l="0" t="0" r="1270" b="0"/>
            <wp:docPr id="25445818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5818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8" b="5535"/>
                    <a:stretch/>
                  </pic:blipFill>
                  <pic:spPr bwMode="auto">
                    <a:xfrm>
                      <a:off x="0" y="0"/>
                      <a:ext cx="5943600" cy="424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804936" w14:textId="13DF9B52" w:rsidR="00530AB2" w:rsidRDefault="00530AB2" w:rsidP="00530AB2">
      <w:pPr>
        <w:autoSpaceDE w:val="0"/>
        <w:autoSpaceDN w:val="0"/>
        <w:adjustRightInd w:val="0"/>
        <w:spacing w:after="120" w:line="240" w:lineRule="auto"/>
        <w:jc w:val="center"/>
        <w:rPr>
          <w:rFonts w:ascii="Cascadia Mono" w:hAnsi="Cascadia Mono" w:cs="Cascadia Mono"/>
          <w:color w:val="000000"/>
          <w:kern w:val="0"/>
          <w:highlight w:val="white"/>
        </w:rPr>
      </w:pPr>
      <w:r>
        <w:t>Figure 2.1 Conceptual Case Management Data Components.</w:t>
      </w:r>
    </w:p>
    <w:p w14:paraId="07A3E027" w14:textId="5A06E866" w:rsidR="00530AB2" w:rsidRDefault="002505A2" w:rsidP="003A6857">
      <w:pPr>
        <w:autoSpaceDE w:val="0"/>
        <w:autoSpaceDN w:val="0"/>
        <w:adjustRightInd w:val="0"/>
        <w:spacing w:after="12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highlight w:val="white"/>
        </w:rPr>
        <w:t>The above Figure shows the Case, Assignment, Request, Referrals and Disposition components and (in light orange) related code sets.</w:t>
      </w:r>
    </w:p>
    <w:p w14:paraId="0B10ACBB" w14:textId="0B50D1D2" w:rsidR="00BC3C73" w:rsidRDefault="00BC3C73" w:rsidP="00BC3C73">
      <w:pPr>
        <w:autoSpaceDE w:val="0"/>
        <w:autoSpaceDN w:val="0"/>
        <w:adjustRightInd w:val="0"/>
        <w:spacing w:after="120" w:line="240" w:lineRule="auto"/>
        <w:jc w:val="center"/>
        <w:rPr>
          <w:rFonts w:ascii="Cascadia Mono" w:hAnsi="Cascadia Mono" w:cs="Cascadia Mono"/>
          <w:color w:val="000000"/>
          <w:kern w:val="0"/>
          <w:highlight w:val="white"/>
        </w:rPr>
      </w:pPr>
      <w:r>
        <w:lastRenderedPageBreak/>
        <w:fldChar w:fldCharType="begin"/>
      </w:r>
      <w:r>
        <w:instrText xml:space="preserve"> INCLUDEPICTURE "https://documents.lucid.app/documents/03a0d95e-a47e-4b3d-ac9b-0413eb5b7c22/pages/0_0?a=347&amp;x=-366&amp;y=-817&amp;w=2072&amp;h=2881&amp;store=1&amp;accept=image%2F*&amp;auth=LCA%20ba1e051ec897e58fb49d1c6b88be12d2122e5e0154c8a04ca446fe7b9ca42e0f-ts%3D1734978751"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5BF6A2" wp14:editId="3C8EACA0">
            <wp:extent cx="5414010" cy="7579895"/>
            <wp:effectExtent l="0" t="0" r="0" b="2540"/>
            <wp:docPr id="468774198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74198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9" t="5068" r="4140" b="2815"/>
                    <a:stretch/>
                  </pic:blipFill>
                  <pic:spPr bwMode="auto">
                    <a:xfrm>
                      <a:off x="0" y="0"/>
                      <a:ext cx="5414684" cy="758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308C4EA" w14:textId="0E5431AA" w:rsidR="00BC3C73" w:rsidRDefault="00BC3C73" w:rsidP="00BC3C73">
      <w:pPr>
        <w:autoSpaceDE w:val="0"/>
        <w:autoSpaceDN w:val="0"/>
        <w:adjustRightInd w:val="0"/>
        <w:spacing w:after="120" w:line="240" w:lineRule="auto"/>
        <w:jc w:val="center"/>
        <w:rPr>
          <w:rFonts w:ascii="Cascadia Mono" w:hAnsi="Cascadia Mono" w:cs="Cascadia Mono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highlight w:val="white"/>
        </w:rPr>
        <w:t>Figure 2.</w:t>
      </w:r>
      <w:r w:rsidR="00530AB2">
        <w:rPr>
          <w:rFonts w:ascii="Cascadia Mono" w:hAnsi="Cascadia Mono" w:cs="Cascadia Mono"/>
          <w:color w:val="000000"/>
          <w:kern w:val="0"/>
          <w:highlight w:val="white"/>
        </w:rPr>
        <w:t>2</w:t>
      </w:r>
      <w:r>
        <w:rPr>
          <w:rFonts w:ascii="Cascadia Mono" w:hAnsi="Cascadia Mono" w:cs="Cascadia Mono"/>
          <w:color w:val="000000"/>
          <w:kern w:val="0"/>
          <w:highlight w:val="white"/>
        </w:rPr>
        <w:t xml:space="preserve"> Cases, Referrals, Requests, Assignments, and Dispositions.</w:t>
      </w:r>
    </w:p>
    <w:p w14:paraId="6ECA7DCB" w14:textId="77777777" w:rsidR="00BC3C73" w:rsidRPr="00F226CC" w:rsidRDefault="00BC3C73" w:rsidP="003A6857">
      <w:pPr>
        <w:autoSpaceDE w:val="0"/>
        <w:autoSpaceDN w:val="0"/>
        <w:adjustRightInd w:val="0"/>
        <w:spacing w:after="12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</w:p>
    <w:p w14:paraId="3C74F9ED" w14:textId="77777777" w:rsidR="00350CA7" w:rsidRDefault="00350CA7"/>
    <w:p w14:paraId="26FF3E55" w14:textId="77777777" w:rsidR="00350CA7" w:rsidRDefault="00350CA7"/>
    <w:sectPr w:rsidR="0035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scadia Mono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CC"/>
    <w:rsid w:val="000F5A84"/>
    <w:rsid w:val="002505A2"/>
    <w:rsid w:val="00350CA7"/>
    <w:rsid w:val="003819AA"/>
    <w:rsid w:val="00385A52"/>
    <w:rsid w:val="003A6857"/>
    <w:rsid w:val="00473556"/>
    <w:rsid w:val="00530AB2"/>
    <w:rsid w:val="00536444"/>
    <w:rsid w:val="00796283"/>
    <w:rsid w:val="007F459F"/>
    <w:rsid w:val="009A6F60"/>
    <w:rsid w:val="009B678B"/>
    <w:rsid w:val="009C1008"/>
    <w:rsid w:val="009D6D23"/>
    <w:rsid w:val="00A83A86"/>
    <w:rsid w:val="00BC3C73"/>
    <w:rsid w:val="00BC725A"/>
    <w:rsid w:val="00BE364A"/>
    <w:rsid w:val="00C72C47"/>
    <w:rsid w:val="00CC6508"/>
    <w:rsid w:val="00DF792B"/>
    <w:rsid w:val="00EF0926"/>
    <w:rsid w:val="00F2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2150D"/>
  <w15:chartTrackingRefBased/>
  <w15:docId w15:val="{29234E51-66F5-BD4B-9258-0967D9D0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2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6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09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Sobrino</dc:creator>
  <cp:keywords/>
  <dc:description/>
  <cp:lastModifiedBy>Eduardo Sobrino</cp:lastModifiedBy>
  <cp:revision>16</cp:revision>
  <dcterms:created xsi:type="dcterms:W3CDTF">2024-12-23T13:48:00Z</dcterms:created>
  <dcterms:modified xsi:type="dcterms:W3CDTF">2024-12-23T20:55:00Z</dcterms:modified>
</cp:coreProperties>
</file>