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990A" w14:textId="1B15B889" w:rsidR="001C3852" w:rsidRPr="00A77DF1" w:rsidRDefault="001C3852" w:rsidP="00A77DF1">
      <w:pPr>
        <w:pStyle w:val="Title"/>
        <w:rPr>
          <w:sz w:val="48"/>
          <w:szCs w:val="48"/>
        </w:rPr>
      </w:pPr>
      <w:r w:rsidRPr="00A77DF1">
        <w:rPr>
          <w:sz w:val="48"/>
          <w:szCs w:val="48"/>
        </w:rPr>
        <w:t>Construction Boundaries and Connection Contexts</w:t>
      </w:r>
      <w:r w:rsidR="003F56A5">
        <w:rPr>
          <w:sz w:val="48"/>
          <w:szCs w:val="48"/>
        </w:rPr>
        <w:t xml:space="preserve"> Overview</w:t>
      </w:r>
    </w:p>
    <w:p w14:paraId="6417E554"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Construction Boundaries</w:t>
      </w:r>
      <w:r w:rsidRPr="001C3852">
        <w:rPr>
          <w:rFonts w:ascii="Times New Roman" w:eastAsia="Times New Roman" w:hAnsi="Times New Roman" w:cs="Times New Roman"/>
          <w:kern w:val="0"/>
          <w14:ligatures w14:val="none"/>
        </w:rPr>
        <w:t xml:space="preserve"> introduce a foundational organizing principle to the IMHOTEP Construction Planning Model. They act as a first-class planning unit that groups related specification entities, tasks, artifacts, validation activities, governance checks, and continuation records into a coherent, bounded scope of autonomous work. Instead of allowing agents to operate across a massive, unbounded task graph, the platform confines reasoning, validation, and execution to explicit architectural scopes—ranging from foundational primitives to security controls and deployment preparation.</w:t>
      </w:r>
    </w:p>
    <w:p w14:paraId="03C5B969"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Connection Contexts</w:t>
      </w:r>
      <w:r w:rsidRPr="001C3852">
        <w:rPr>
          <w:rFonts w:ascii="Times New Roman" w:eastAsia="Times New Roman" w:hAnsi="Times New Roman" w:cs="Times New Roman"/>
          <w:kern w:val="0"/>
          <w14:ligatures w14:val="none"/>
        </w:rPr>
        <w:t xml:space="preserve"> serve as the strict communication contracts between these boundaries. Because autonomous construction cannot rely on unstructured reasoning memory or implicit assumptions, Connection Contexts formalize the permitted, required, and traceable interactions across boundaries. They define exactly what artifacts, constraints, or decisions are provided by an upstream boundary and required by a downstream boundary, governed by specific validation rules and trust policies.</w:t>
      </w:r>
    </w:p>
    <w:p w14:paraId="5366A837"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kern w:val="0"/>
          <w14:ligatures w14:val="none"/>
        </w:rPr>
        <w:t>This boundary-aware paradigm extends deeply across the platform's core specifications:</w:t>
      </w:r>
    </w:p>
    <w:p w14:paraId="2450333A" w14:textId="77777777" w:rsidR="001C3852" w:rsidRPr="001C3852" w:rsidRDefault="001C3852" w:rsidP="001C38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Execution (ISL v1.2):</w:t>
      </w:r>
      <w:r w:rsidRPr="001C3852">
        <w:rPr>
          <w:rFonts w:ascii="Times New Roman" w:eastAsia="Times New Roman" w:hAnsi="Times New Roman" w:cs="Times New Roman"/>
          <w:kern w:val="0"/>
          <w14:ligatures w14:val="none"/>
        </w:rPr>
        <w:t xml:space="preserve"> The execution runtime evaluates strict Entry and Exit criteria for each boundary, utilizing Boundary Continuation Records to seamlessly resume autonomous construction after an interruption.</w:t>
      </w:r>
    </w:p>
    <w:p w14:paraId="33CA0B77" w14:textId="77777777" w:rsidR="001C3852" w:rsidRPr="001C3852" w:rsidRDefault="001C3852" w:rsidP="001C38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Traceability (ISL v1.4):</w:t>
      </w:r>
      <w:r w:rsidRPr="001C3852">
        <w:rPr>
          <w:rFonts w:ascii="Times New Roman" w:eastAsia="Times New Roman" w:hAnsi="Times New Roman" w:cs="Times New Roman"/>
          <w:kern w:val="0"/>
          <w14:ligatures w14:val="none"/>
        </w:rPr>
        <w:t xml:space="preserve"> Boundaries act as distinct nodes (</w:t>
      </w:r>
      <w:proofErr w:type="spellStart"/>
      <w:r w:rsidRPr="001C3852">
        <w:rPr>
          <w:rFonts w:ascii="Courier New" w:eastAsia="Times New Roman" w:hAnsi="Courier New" w:cs="Courier New"/>
          <w:kern w:val="0"/>
          <w:sz w:val="20"/>
          <w:szCs w:val="20"/>
          <w14:ligatures w14:val="none"/>
        </w:rPr>
        <w:t>ConstructionBoundary</w:t>
      </w:r>
      <w:proofErr w:type="spellEnd"/>
      <w:r w:rsidRPr="001C3852">
        <w:rPr>
          <w:rFonts w:ascii="Times New Roman" w:eastAsia="Times New Roman" w:hAnsi="Times New Roman" w:cs="Times New Roman"/>
          <w:kern w:val="0"/>
          <w14:ligatures w14:val="none"/>
        </w:rPr>
        <w:t>) in the Traceability Graph, ensuring that cross-boundary dependencies and context-sharing are mathematically linked and preserved across specification versions.</w:t>
      </w:r>
    </w:p>
    <w:p w14:paraId="6926B470" w14:textId="77777777" w:rsidR="001C3852" w:rsidRPr="001C3852" w:rsidRDefault="001C3852" w:rsidP="001C38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Tool Integration (ISL v1.6):</w:t>
      </w:r>
      <w:r w:rsidRPr="001C3852">
        <w:rPr>
          <w:rFonts w:ascii="Times New Roman" w:eastAsia="Times New Roman" w:hAnsi="Times New Roman" w:cs="Times New Roman"/>
          <w:kern w:val="0"/>
          <w14:ligatures w14:val="none"/>
        </w:rPr>
        <w:t xml:space="preserve"> Deterministic tools and plugins are explicitly forbidden from consuming artifacts or context originating from another boundary unless a valid Connection Context specifically authorizes the interaction.</w:t>
      </w:r>
    </w:p>
    <w:p w14:paraId="0CE50F39" w14:textId="77777777" w:rsidR="001C3852" w:rsidRPr="001C3852" w:rsidRDefault="001C3852" w:rsidP="001C38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Governance (ISL v1.7):</w:t>
      </w:r>
      <w:r w:rsidRPr="001C3852">
        <w:rPr>
          <w:rFonts w:ascii="Times New Roman" w:eastAsia="Times New Roman" w:hAnsi="Times New Roman" w:cs="Times New Roman"/>
          <w:kern w:val="0"/>
          <w14:ligatures w14:val="none"/>
        </w:rPr>
        <w:t xml:space="preserve"> Governance acts as an active control layer that evaluates policies and enforces approval gates directly at boundary entry, execution, escalation, and exit, effectively preventing unsafe downstream progression.</w:t>
      </w:r>
    </w:p>
    <w:p w14:paraId="4A85ABB6" w14:textId="2FB81184" w:rsidR="001C3852" w:rsidRPr="001C3852" w:rsidRDefault="001C3852" w:rsidP="00A77DF1">
      <w:pPr>
        <w:pStyle w:val="Heading1"/>
      </w:pPr>
      <w:r w:rsidRPr="001C3852">
        <w:t xml:space="preserve">Thoughts on the Architectural </w:t>
      </w:r>
      <w:r w:rsidR="00A77DF1">
        <w:t>Implications</w:t>
      </w:r>
    </w:p>
    <w:p w14:paraId="05195331"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Mitigating Cognitive Drift and Context Bloat</w:t>
      </w:r>
      <w:r w:rsidRPr="001C3852">
        <w:rPr>
          <w:rFonts w:ascii="Times New Roman" w:eastAsia="Times New Roman" w:hAnsi="Times New Roman" w:cs="Times New Roman"/>
          <w:kern w:val="0"/>
          <w14:ligatures w14:val="none"/>
        </w:rPr>
        <w:t xml:space="preserve"> Introducing Construction Boundaries is a highly effective way to address the limitations of generative AI. By confining reasoning agents to bounded scopes, the architecture prevents "context bloat"—where an AI loses focus due to excessive, irrelevant information. This strict modularity ensures that the agents operate with high cohesion and low coupling, focusing their reasoning power purely on the specific architectural layer they are tasked with building at that moment.</w:t>
      </w:r>
    </w:p>
    <w:p w14:paraId="37992BC2"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lastRenderedPageBreak/>
        <w:t>Enforcing "API-Driven" Autonomous Handoffs</w:t>
      </w:r>
      <w:r w:rsidRPr="001C3852">
        <w:rPr>
          <w:rFonts w:ascii="Times New Roman" w:eastAsia="Times New Roman" w:hAnsi="Times New Roman" w:cs="Times New Roman"/>
          <w:kern w:val="0"/>
          <w14:ligatures w14:val="none"/>
        </w:rPr>
        <w:t xml:space="preserve"> The formalization of Connection Contexts essentially acts as an API contract between autonomous workflows. If a downstream boundary fails to build correctly, the platform does not need to re-evaluate the entire system; it can simply check if the Connection Context contract from the upstream boundary was met. This makes the automated validation and repair loops highly precise and deterministic, significantly reducing the "black box" nature of AI-generated code.</w:t>
      </w:r>
    </w:p>
    <w:p w14:paraId="0A308AB8" w14:textId="77777777" w:rsidR="001C3852" w:rsidRPr="001C3852" w:rsidRDefault="001C3852" w:rsidP="001C3852">
      <w:pPr>
        <w:spacing w:before="100" w:beforeAutospacing="1" w:after="100" w:afterAutospacing="1" w:line="240" w:lineRule="auto"/>
        <w:rPr>
          <w:rFonts w:ascii="Times New Roman" w:eastAsia="Times New Roman" w:hAnsi="Times New Roman" w:cs="Times New Roman"/>
          <w:kern w:val="0"/>
          <w14:ligatures w14:val="none"/>
        </w:rPr>
      </w:pPr>
      <w:r w:rsidRPr="001C3852">
        <w:rPr>
          <w:rFonts w:ascii="Times New Roman" w:eastAsia="Times New Roman" w:hAnsi="Times New Roman" w:cs="Times New Roman"/>
          <w:b/>
          <w:bCs/>
          <w:kern w:val="0"/>
          <w14:ligatures w14:val="none"/>
        </w:rPr>
        <w:t>Enterprise Scalability and Human Authority</w:t>
      </w:r>
      <w:r w:rsidRPr="001C3852">
        <w:rPr>
          <w:rFonts w:ascii="Times New Roman" w:eastAsia="Times New Roman" w:hAnsi="Times New Roman" w:cs="Times New Roman"/>
          <w:kern w:val="0"/>
          <w14:ligatures w14:val="none"/>
        </w:rPr>
        <w:t xml:space="preserve"> From an enterprise adoption perspective, this update is critical. It allows massive, complex software construction projects to be partitioned into governable stages. It empowers Human Governance Roles (like Security Validators or IT Architects) to place explicit Approval Gates at the seams of these boundaries. Consequently, IMHOTEP scales safely into distributed or cloud environments while ensuring humans retain absolute authority over the construction lifecycle's progression.</w:t>
      </w:r>
    </w:p>
    <w:p w14:paraId="4D5A7867" w14:textId="589B795B" w:rsidR="001C3852" w:rsidRDefault="00A77DF1" w:rsidP="00A77DF1">
      <w:pPr>
        <w:pStyle w:val="Heading1"/>
      </w:pPr>
      <w:r>
        <w:t>Why this is Critical in IMHOTEP?</w:t>
      </w:r>
    </w:p>
    <w:p w14:paraId="2636BA69" w14:textId="77777777" w:rsidR="00A77DF1" w:rsidRDefault="00A77DF1" w:rsidP="00A77DF1">
      <w:pPr>
        <w:pStyle w:val="NormalWeb"/>
      </w:pPr>
      <w:r>
        <w:t xml:space="preserve">Operating in a local-first environment within the IMHOTEP architecture introduces strict hardware constraints, as the platform is designed to function with local models (such as </w:t>
      </w:r>
      <w:r>
        <w:rPr>
          <w:rStyle w:val="HTMLCode"/>
        </w:rPr>
        <w:t>qwen2.5-coder:7b</w:t>
      </w:r>
      <w:r>
        <w:t xml:space="preserve"> via </w:t>
      </w:r>
      <w:proofErr w:type="spellStart"/>
      <w:r>
        <w:t>Ollama</w:t>
      </w:r>
      <w:proofErr w:type="spellEnd"/>
      <w:r>
        <w:t xml:space="preserve">) running on hardware with limited memory, such as a 2GB VRAM GPU. Because these local setups lack the luxury of hundreds of thousands of context tokens or massive session sizes, managing the cognitive load and memory of the AI is </w:t>
      </w:r>
      <w:proofErr w:type="gramStart"/>
      <w:r>
        <w:t>absolutely essential</w:t>
      </w:r>
      <w:proofErr w:type="gramEnd"/>
      <w:r>
        <w:t xml:space="preserve">. While the IMHOTEP specifications note that boundary-based construction is primarily a structural control mechanism for reliable autonomy rather than just an optimization for small models, </w:t>
      </w:r>
      <w:r>
        <w:rPr>
          <w:rStyle w:val="Strong"/>
        </w:rPr>
        <w:t>local-first environments benefit critically from these boundaries because they explicitly constrain both the model context and local execution resources</w:t>
      </w:r>
      <w:r>
        <w:t>.</w:t>
      </w:r>
    </w:p>
    <w:p w14:paraId="1C9A090A" w14:textId="77777777" w:rsidR="00A77DF1" w:rsidRDefault="00A77DF1" w:rsidP="00A77DF1">
      <w:pPr>
        <w:pStyle w:val="NormalWeb"/>
      </w:pPr>
      <w:r>
        <w:t xml:space="preserve">By utilizing </w:t>
      </w:r>
      <w:r>
        <w:rPr>
          <w:rStyle w:val="Strong"/>
        </w:rPr>
        <w:t>Construction Boundaries</w:t>
      </w:r>
      <w:r>
        <w:t xml:space="preserve">, the platform breaks down a massive enterprise project into small, isolated scopes of work, ensuring the local AI model only </w:t>
      </w:r>
      <w:proofErr w:type="gramStart"/>
      <w:r>
        <w:t>has to</w:t>
      </w:r>
      <w:proofErr w:type="gramEnd"/>
      <w:r>
        <w:t xml:space="preserve"> process a highly focused architectural layer or task at any given time. To coordinate these fragments without losing the overall system architecture, </w:t>
      </w:r>
      <w:r>
        <w:rPr>
          <w:rStyle w:val="Strong"/>
        </w:rPr>
        <w:t>Connection Contexts</w:t>
      </w:r>
      <w:r>
        <w:t xml:space="preserve"> act as strict communication contracts between the isolated scopes, guaranteeing that cross-boundary interactions remain explicit, bounded, validated, and traceable.</w:t>
      </w:r>
    </w:p>
    <w:p w14:paraId="5C5995A1" w14:textId="77777777" w:rsidR="00A77DF1" w:rsidRDefault="00A77DF1" w:rsidP="00A77DF1">
      <w:pPr>
        <w:pStyle w:val="NormalWeb"/>
      </w:pPr>
      <w:r>
        <w:t xml:space="preserve">When a boundary finishes its designated work, it produces a </w:t>
      </w:r>
      <w:r>
        <w:rPr>
          <w:rStyle w:val="Strong"/>
        </w:rPr>
        <w:t>Boundary Continuation Record</w:t>
      </w:r>
      <w:r>
        <w:t xml:space="preserve"> that explicitly packages only the specific artifacts, task IDs, and context summaries needed by the next phase. This process means that </w:t>
      </w:r>
      <w:r>
        <w:rPr>
          <w:rStyle w:val="Strong"/>
        </w:rPr>
        <w:t>downstream boundaries can seamlessly continue the construction pipeline without relying on unstructured reasoning context, implicit assumptions, or deep conversational memory</w:t>
      </w:r>
      <w:r>
        <w:t>. By passing only these rigorously defined contexts between isolated phases, IMHOTEP ensures that local models with severely limited context windows can successfully orchestrate, validate, and construct complex software without suffering from context exhaustion or cognitive drift.</w:t>
      </w:r>
    </w:p>
    <w:p w14:paraId="163E1317" w14:textId="77777777" w:rsidR="001C3852" w:rsidRDefault="001C3852"/>
    <w:sectPr w:rsidR="001C3852"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804D0"/>
    <w:multiLevelType w:val="multilevel"/>
    <w:tmpl w:val="8F3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160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852"/>
    <w:rsid w:val="001C3852"/>
    <w:rsid w:val="00223A5B"/>
    <w:rsid w:val="003D49E8"/>
    <w:rsid w:val="003F56A5"/>
    <w:rsid w:val="00534570"/>
    <w:rsid w:val="005F714F"/>
    <w:rsid w:val="006A7C31"/>
    <w:rsid w:val="006F4208"/>
    <w:rsid w:val="00984106"/>
    <w:rsid w:val="00997A3E"/>
    <w:rsid w:val="009C1A7D"/>
    <w:rsid w:val="00A77DF1"/>
    <w:rsid w:val="00C2250B"/>
    <w:rsid w:val="00CA38A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B022"/>
  <w15:chartTrackingRefBased/>
  <w15:docId w15:val="{579FF40D-8AB6-F342-BBDB-63828B4F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852"/>
    <w:rPr>
      <w:rFonts w:eastAsiaTheme="majorEastAsia" w:cstheme="majorBidi"/>
      <w:color w:val="272727" w:themeColor="text1" w:themeTint="D8"/>
    </w:rPr>
  </w:style>
  <w:style w:type="paragraph" w:styleId="Title">
    <w:name w:val="Title"/>
    <w:basedOn w:val="Normal"/>
    <w:next w:val="Normal"/>
    <w:link w:val="TitleChar"/>
    <w:uiPriority w:val="10"/>
    <w:qFormat/>
    <w:rsid w:val="001C3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852"/>
    <w:pPr>
      <w:spacing w:before="160"/>
      <w:jc w:val="center"/>
    </w:pPr>
    <w:rPr>
      <w:i/>
      <w:iCs/>
      <w:color w:val="404040" w:themeColor="text1" w:themeTint="BF"/>
    </w:rPr>
  </w:style>
  <w:style w:type="character" w:customStyle="1" w:styleId="QuoteChar">
    <w:name w:val="Quote Char"/>
    <w:basedOn w:val="DefaultParagraphFont"/>
    <w:link w:val="Quote"/>
    <w:uiPriority w:val="29"/>
    <w:rsid w:val="001C3852"/>
    <w:rPr>
      <w:i/>
      <w:iCs/>
      <w:color w:val="404040" w:themeColor="text1" w:themeTint="BF"/>
    </w:rPr>
  </w:style>
  <w:style w:type="paragraph" w:styleId="ListParagraph">
    <w:name w:val="List Paragraph"/>
    <w:basedOn w:val="Normal"/>
    <w:uiPriority w:val="34"/>
    <w:qFormat/>
    <w:rsid w:val="001C3852"/>
    <w:pPr>
      <w:ind w:left="720"/>
      <w:contextualSpacing/>
    </w:pPr>
  </w:style>
  <w:style w:type="character" w:styleId="IntenseEmphasis">
    <w:name w:val="Intense Emphasis"/>
    <w:basedOn w:val="DefaultParagraphFont"/>
    <w:uiPriority w:val="21"/>
    <w:qFormat/>
    <w:rsid w:val="001C3852"/>
    <w:rPr>
      <w:i/>
      <w:iCs/>
      <w:color w:val="0F4761" w:themeColor="accent1" w:themeShade="BF"/>
    </w:rPr>
  </w:style>
  <w:style w:type="paragraph" w:styleId="IntenseQuote">
    <w:name w:val="Intense Quote"/>
    <w:basedOn w:val="Normal"/>
    <w:next w:val="Normal"/>
    <w:link w:val="IntenseQuoteChar"/>
    <w:uiPriority w:val="30"/>
    <w:qFormat/>
    <w:rsid w:val="001C3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852"/>
    <w:rPr>
      <w:i/>
      <w:iCs/>
      <w:color w:val="0F4761" w:themeColor="accent1" w:themeShade="BF"/>
    </w:rPr>
  </w:style>
  <w:style w:type="character" w:styleId="IntenseReference">
    <w:name w:val="Intense Reference"/>
    <w:basedOn w:val="DefaultParagraphFont"/>
    <w:uiPriority w:val="32"/>
    <w:qFormat/>
    <w:rsid w:val="001C3852"/>
    <w:rPr>
      <w:b/>
      <w:bCs/>
      <w:smallCaps/>
      <w:color w:val="0F4761" w:themeColor="accent1" w:themeShade="BF"/>
      <w:spacing w:val="5"/>
    </w:rPr>
  </w:style>
  <w:style w:type="paragraph" w:styleId="NormalWeb">
    <w:name w:val="Normal (Web)"/>
    <w:basedOn w:val="Normal"/>
    <w:uiPriority w:val="99"/>
    <w:semiHidden/>
    <w:unhideWhenUsed/>
    <w:rsid w:val="001C38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3852"/>
    <w:rPr>
      <w:b/>
      <w:bCs/>
    </w:rPr>
  </w:style>
  <w:style w:type="character" w:styleId="HTMLCode">
    <w:name w:val="HTML Code"/>
    <w:basedOn w:val="DefaultParagraphFont"/>
    <w:uiPriority w:val="99"/>
    <w:semiHidden/>
    <w:unhideWhenUsed/>
    <w:rsid w:val="001C38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Sobrino</dc:creator>
  <cp:keywords/>
  <dc:description/>
  <cp:lastModifiedBy>Eduardo Sobrino</cp:lastModifiedBy>
  <cp:revision>4</cp:revision>
  <dcterms:created xsi:type="dcterms:W3CDTF">2026-05-12T17:21:00Z</dcterms:created>
  <dcterms:modified xsi:type="dcterms:W3CDTF">2026-05-16T09:59:00Z</dcterms:modified>
</cp:coreProperties>
</file>