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86274" w14:textId="5FC1C1BD" w:rsidR="00D8203C" w:rsidRPr="00EB6F48" w:rsidRDefault="00EB6F48" w:rsidP="00EB6F48">
      <w:pPr>
        <w:pStyle w:val="Title"/>
        <w:rPr>
          <w:sz w:val="44"/>
          <w:szCs w:val="44"/>
        </w:rPr>
      </w:pPr>
      <w:r w:rsidRPr="00EB6F48">
        <w:rPr>
          <w:sz w:val="44"/>
          <w:szCs w:val="44"/>
        </w:rPr>
        <w:t xml:space="preserve">IMHOTEP Builder Core </w:t>
      </w:r>
      <w:r w:rsidR="00327DA9">
        <w:rPr>
          <w:sz w:val="44"/>
          <w:szCs w:val="44"/>
        </w:rPr>
        <w:t>Directives</w:t>
      </w:r>
    </w:p>
    <w:p w14:paraId="63137115" w14:textId="2B50075E" w:rsidR="00327DA9" w:rsidRDefault="00704B1C" w:rsidP="00704B1C">
      <w:pPr>
        <w:pStyle w:val="Heading1"/>
      </w:pPr>
      <w:r>
        <w:t>Discussion</w:t>
      </w:r>
    </w:p>
    <w:p w14:paraId="19686EEB" w14:textId="79C7D443" w:rsidR="00327DA9" w:rsidRDefault="00327DA9" w:rsidP="00327DA9">
      <w:pPr>
        <w:pStyle w:val="NormalWeb"/>
        <w:spacing w:before="120" w:beforeAutospacing="0" w:after="120" w:afterAutospacing="0"/>
      </w:pPr>
      <w:r>
        <w:t>T</w:t>
      </w:r>
      <w:r>
        <w:t xml:space="preserve">he </w:t>
      </w:r>
      <w:r>
        <w:rPr>
          <w:rStyle w:val="Strong"/>
          <w:rFonts w:eastAsiaTheme="majorEastAsia"/>
        </w:rPr>
        <w:t>IMHOTEP Builder Core Directives</w:t>
      </w:r>
      <w:r>
        <w:t xml:space="preserve"> establish an uncompromising foundation for all coding and generation efforts by mandating that software construction relies on strict architectural boundaries rather than unbounded AI generation. Through the </w:t>
      </w:r>
      <w:r>
        <w:rPr>
          <w:rStyle w:val="Strong"/>
          <w:rFonts w:eastAsiaTheme="majorEastAsia"/>
        </w:rPr>
        <w:t>Universal Abstraction Directive</w:t>
      </w:r>
      <w:r>
        <w:t xml:space="preserve">, all generated components must be designed with well-defined interface contracts before any concrete logic is written, ensuring that internal dependencies like databases, parsers, and AI models can be swapped seamlessly without fracturing the platform's core architecture. This interface-first approach is paired with the </w:t>
      </w:r>
      <w:r>
        <w:rPr>
          <w:rStyle w:val="Strong"/>
          <w:rFonts w:eastAsiaTheme="majorEastAsia"/>
        </w:rPr>
        <w:t>Model and Tool Isolation Directive</w:t>
      </w:r>
      <w:r>
        <w:t xml:space="preserve">, which routes all reasoning and validation through standardized </w:t>
      </w:r>
      <w:proofErr w:type="gramStart"/>
      <w:r>
        <w:t>adapters</w:t>
      </w:r>
      <w:proofErr w:type="gramEnd"/>
      <w:r>
        <w:t xml:space="preserve"> so the system is never tightly coupled to a single vendor's ecosystem. To guarantee that the generated code is reliable and natively secure, the </w:t>
      </w:r>
      <w:r>
        <w:rPr>
          <w:rStyle w:val="Strong"/>
          <w:rFonts w:eastAsiaTheme="majorEastAsia"/>
        </w:rPr>
        <w:t>Deterministic Verifiability Directive</w:t>
      </w:r>
      <w:r>
        <w:t xml:space="preserve"> and </w:t>
      </w:r>
      <w:r>
        <w:rPr>
          <w:rStyle w:val="Strong"/>
          <w:rFonts w:eastAsiaTheme="majorEastAsia"/>
        </w:rPr>
        <w:t>Zero-Trust and Security Enforcement Directive</w:t>
      </w:r>
      <w:r>
        <w:t xml:space="preserve"> require that every piece of source code be objectively testable by established engineering tools—such as external compilers, automated testing frameworks, and static analysis security scanners—rather than relying solely on AI reasoning.</w:t>
      </w:r>
    </w:p>
    <w:p w14:paraId="5673EF9B" w14:textId="77777777" w:rsidR="00327DA9" w:rsidRDefault="00327DA9" w:rsidP="00327DA9">
      <w:pPr>
        <w:pStyle w:val="NormalWeb"/>
        <w:spacing w:before="120" w:beforeAutospacing="0" w:after="120" w:afterAutospacing="0"/>
      </w:pPr>
      <w:r>
        <w:t xml:space="preserve">Furthermore, these directives enforce absolute accountability and continuity throughout the autonomous software development lifecycle. The </w:t>
      </w:r>
      <w:r>
        <w:rPr>
          <w:rStyle w:val="Strong"/>
          <w:rFonts w:eastAsiaTheme="majorEastAsia"/>
        </w:rPr>
        <w:t>Strict Traceability and Metadata Directive</w:t>
      </w:r>
      <w:r>
        <w:t xml:space="preserve"> </w:t>
      </w:r>
      <w:proofErr w:type="gramStart"/>
      <w:r>
        <w:t>requires</w:t>
      </w:r>
      <w:proofErr w:type="gramEnd"/>
      <w:r>
        <w:t xml:space="preserve"> that unique identifiers be embedded into every generated file, creating a bidirectional graph that mathematically links the source code and infrastructure definitions back to the exact canonical specification entity that justified their creation. To prevent scope drift and hallucination during code generation, the </w:t>
      </w:r>
      <w:r>
        <w:rPr>
          <w:rStyle w:val="Strong"/>
          <w:rFonts w:eastAsiaTheme="majorEastAsia"/>
        </w:rPr>
        <w:t>Bounded Cognitive Generation Directive</w:t>
      </w:r>
      <w:r>
        <w:t xml:space="preserve"> imposes rigid format constraints on the AI reasoning agents, explicitly prohibiting conversational preambles, informal UI mockups, and unstructured code snippets. Finally, to ensure these autonomous workflows can scale seamlessly from a local developer's workstation to an enterprise cloud cluster, the </w:t>
      </w:r>
      <w:r>
        <w:rPr>
          <w:rStyle w:val="Strong"/>
          <w:rFonts w:eastAsiaTheme="majorEastAsia"/>
        </w:rPr>
        <w:t>State and Memory Persistence Directive</w:t>
      </w:r>
      <w:r>
        <w:t xml:space="preserve"> persistently </w:t>
      </w:r>
      <w:proofErr w:type="gramStart"/>
      <w:r>
        <w:t>records</w:t>
      </w:r>
      <w:proofErr w:type="gramEnd"/>
      <w:r>
        <w:t xml:space="preserve"> the real-time operational context, enabling long-running construction tasks to survive infrastructure failures and accurately resume execution exactly where they left off.</w:t>
      </w:r>
    </w:p>
    <w:p w14:paraId="38DF2719" w14:textId="64A12394" w:rsidR="00327DA9" w:rsidRDefault="00327DA9" w:rsidP="00327DA9">
      <w:pPr>
        <w:spacing w:after="120"/>
      </w:pPr>
      <w:r>
        <w:t>The Core Directives include:</w:t>
      </w:r>
    </w:p>
    <w:p w14:paraId="0EBF8658"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Universal Abstraction Directive (Interface-First Engineering):</w:t>
      </w:r>
      <w:r w:rsidRPr="00327DA9">
        <w:rPr>
          <w:rFonts w:ascii="Times New Roman" w:eastAsia="Times New Roman" w:hAnsi="Times New Roman" w:cs="Times New Roman"/>
          <w:kern w:val="0"/>
          <w14:ligatures w14:val="none"/>
        </w:rPr>
        <w:t xml:space="preserve"> Every system, subsystem, and runtime component must be implemented using formal abstraction layers. Structural contracts (interfaces) must be rigidly defined before any concrete logic is written, ensuring that internal dependencies (like parsers or databases) can be seamlessly swapped without destabilizing the platform's core architecture.</w:t>
      </w:r>
    </w:p>
    <w:p w14:paraId="64918DFF"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Deterministic Verifiability Directive:</w:t>
      </w:r>
      <w:r w:rsidRPr="00327DA9">
        <w:rPr>
          <w:rFonts w:ascii="Times New Roman" w:eastAsia="Times New Roman" w:hAnsi="Times New Roman" w:cs="Times New Roman"/>
          <w:kern w:val="0"/>
          <w14:ligatures w14:val="none"/>
        </w:rPr>
        <w:t xml:space="preserve"> Generative capabilities must always be balanced and validated by deterministic engineering. Every generated artifact must be objectively verifiable by established external tools—such as compilers, automated testing frameworks, and static analysis security scanners—to ensure it meets rigorous professional standards.</w:t>
      </w:r>
    </w:p>
    <w:p w14:paraId="3F015A09"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Strict Traceability and Metadata Directive:</w:t>
      </w:r>
      <w:r w:rsidRPr="00327DA9">
        <w:rPr>
          <w:rFonts w:ascii="Times New Roman" w:eastAsia="Times New Roman" w:hAnsi="Times New Roman" w:cs="Times New Roman"/>
          <w:kern w:val="0"/>
          <w14:ligatures w14:val="none"/>
        </w:rPr>
        <w:t xml:space="preserve"> Traceability is an inherent structural property of the platform, not an optional documentation layer. Unique Traceability Identifiers must be embedded to create a bidirectional graph that mathematically links </w:t>
      </w:r>
      <w:r w:rsidRPr="00327DA9">
        <w:rPr>
          <w:rFonts w:ascii="Times New Roman" w:eastAsia="Times New Roman" w:hAnsi="Times New Roman" w:cs="Times New Roman"/>
          <w:kern w:val="0"/>
          <w14:ligatures w14:val="none"/>
        </w:rPr>
        <w:lastRenderedPageBreak/>
        <w:t>every generated file, test, and infrastructure definition back to the canonical specification entity that justified its creation.</w:t>
      </w:r>
    </w:p>
    <w:p w14:paraId="31E7E26A"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Local-First and Cloud-Portable Operations Directive:</w:t>
      </w:r>
      <w:r w:rsidRPr="00327DA9">
        <w:rPr>
          <w:rFonts w:ascii="Times New Roman" w:eastAsia="Times New Roman" w:hAnsi="Times New Roman" w:cs="Times New Roman"/>
          <w:kern w:val="0"/>
          <w14:ligatures w14:val="none"/>
        </w:rPr>
        <w:t xml:space="preserve"> All components must adhere to a local-first execution model, ensuring they can operate entirely within a local environment using locally hosted AI models and tools. Simultaneously, they must utilize abstractions that allow seamless portability and scaling to enterprise cloud clusters.</w:t>
      </w:r>
    </w:p>
    <w:p w14:paraId="27E5B980"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Model and Tool Isolation Directive:</w:t>
      </w:r>
      <w:r w:rsidRPr="00327DA9">
        <w:rPr>
          <w:rFonts w:ascii="Times New Roman" w:eastAsia="Times New Roman" w:hAnsi="Times New Roman" w:cs="Times New Roman"/>
          <w:kern w:val="0"/>
          <w14:ligatures w14:val="none"/>
        </w:rPr>
        <w:t xml:space="preserve"> The platform's core engines must never be tightly coupled to specific external AI vendors or development tools. All reasoning model interactions must be routed through standardized provider adapters via the Model Integration and Abstraction Layer, and all deterministic engineering tools must be executed strictly through the Tool Plugin Architecture.</w:t>
      </w:r>
    </w:p>
    <w:p w14:paraId="330A37CC"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Zero-Trust and Security Enforcement Directive:</w:t>
      </w:r>
      <w:r w:rsidRPr="00327DA9">
        <w:rPr>
          <w:rFonts w:ascii="Times New Roman" w:eastAsia="Times New Roman" w:hAnsi="Times New Roman" w:cs="Times New Roman"/>
          <w:kern w:val="0"/>
          <w14:ligatures w14:val="none"/>
        </w:rPr>
        <w:t xml:space="preserve"> The platform operates on a zero-trust model where security is embedded directly into the construction pipeline rather than treated as a post-development activity. Generated components must natively enforce explicit authentication models, role-based authorization rules, and data encryption policies.</w:t>
      </w:r>
    </w:p>
    <w:p w14:paraId="2A0B4DD9" w14:textId="77777777" w:rsidR="00327DA9" w:rsidRP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Bounded Cognitive Generation Directive (Format Constraints):</w:t>
      </w:r>
      <w:r w:rsidRPr="00327DA9">
        <w:rPr>
          <w:rFonts w:ascii="Times New Roman" w:eastAsia="Times New Roman" w:hAnsi="Times New Roman" w:cs="Times New Roman"/>
          <w:kern w:val="0"/>
          <w14:ligatures w14:val="none"/>
        </w:rPr>
        <w:t xml:space="preserve"> AI reasoning agents must adhere to strict output contracts governed by the Model Interaction Protocol. The generation of conversational preamble, informal mockups, or unstructured code snippets is strictly prohibited; all outputs must be immediately machine-</w:t>
      </w:r>
      <w:proofErr w:type="spellStart"/>
      <w:r w:rsidRPr="00327DA9">
        <w:rPr>
          <w:rFonts w:ascii="Times New Roman" w:eastAsia="Times New Roman" w:hAnsi="Times New Roman" w:cs="Times New Roman"/>
          <w:kern w:val="0"/>
          <w14:ligatures w14:val="none"/>
        </w:rPr>
        <w:t>parseable</w:t>
      </w:r>
      <w:proofErr w:type="spellEnd"/>
      <w:r w:rsidRPr="00327DA9">
        <w:rPr>
          <w:rFonts w:ascii="Times New Roman" w:eastAsia="Times New Roman" w:hAnsi="Times New Roman" w:cs="Times New Roman"/>
          <w:kern w:val="0"/>
          <w14:ligatures w14:val="none"/>
        </w:rPr>
        <w:t xml:space="preserve"> and formally structured to satisfy both human governance and programmatic parsing.</w:t>
      </w:r>
    </w:p>
    <w:p w14:paraId="0EB65547" w14:textId="77777777" w:rsidR="00327DA9" w:rsidRDefault="00327DA9" w:rsidP="00327DA9">
      <w:pPr>
        <w:numPr>
          <w:ilvl w:val="0"/>
          <w:numId w:val="11"/>
        </w:numPr>
        <w:spacing w:after="0" w:line="240" w:lineRule="auto"/>
        <w:rPr>
          <w:rFonts w:ascii="Times New Roman" w:eastAsia="Times New Roman" w:hAnsi="Times New Roman" w:cs="Times New Roman"/>
          <w:kern w:val="0"/>
          <w14:ligatures w14:val="none"/>
        </w:rPr>
      </w:pPr>
      <w:r w:rsidRPr="00327DA9">
        <w:rPr>
          <w:rFonts w:ascii="Times New Roman" w:eastAsia="Times New Roman" w:hAnsi="Times New Roman" w:cs="Times New Roman"/>
          <w:b/>
          <w:bCs/>
          <w:kern w:val="0"/>
          <w14:ligatures w14:val="none"/>
        </w:rPr>
        <w:t>The State and Memory Persistence Directive:</w:t>
      </w:r>
      <w:r w:rsidRPr="00327DA9">
        <w:rPr>
          <w:rFonts w:ascii="Times New Roman" w:eastAsia="Times New Roman" w:hAnsi="Times New Roman" w:cs="Times New Roman"/>
          <w:kern w:val="0"/>
          <w14:ligatures w14:val="none"/>
        </w:rPr>
        <w:t xml:space="preserve"> The platform must persistently record its real-time operational context, including specification state, execution state, and artifact state. This memory structure ensures that long-running autonomous workflows can reliably survive infrastructure failures and resume execution exactly where they left off.</w:t>
      </w:r>
    </w:p>
    <w:p w14:paraId="662857D2" w14:textId="77777777" w:rsidR="00704B1C" w:rsidRPr="00704B1C" w:rsidRDefault="00704B1C" w:rsidP="00704B1C">
      <w:pPr>
        <w:numPr>
          <w:ilvl w:val="0"/>
          <w:numId w:val="12"/>
        </w:numPr>
        <w:spacing w:after="100" w:afterAutospacing="1" w:line="240" w:lineRule="auto"/>
        <w:rPr>
          <w:rFonts w:ascii="Times New Roman" w:eastAsia="Times New Roman" w:hAnsi="Times New Roman" w:cs="Times New Roman"/>
          <w:kern w:val="0"/>
          <w14:ligatures w14:val="none"/>
        </w:rPr>
      </w:pPr>
      <w:r w:rsidRPr="00704B1C">
        <w:rPr>
          <w:rFonts w:ascii="Times New Roman" w:eastAsia="Times New Roman" w:hAnsi="Times New Roman" w:cs="Times New Roman"/>
          <w:b/>
          <w:bCs/>
          <w:kern w:val="0"/>
          <w14:ligatures w14:val="none"/>
        </w:rPr>
        <w:t>The Specification-Driven Construction Directive (The Primacy of the Blueprint):</w:t>
      </w:r>
      <w:r w:rsidRPr="00704B1C">
        <w:rPr>
          <w:rFonts w:ascii="Times New Roman" w:eastAsia="Times New Roman" w:hAnsi="Times New Roman" w:cs="Times New Roman"/>
          <w:kern w:val="0"/>
          <w14:ligatures w14:val="none"/>
        </w:rPr>
        <w:t xml:space="preserve"> Software must be constructed from structured specifications rather than handcrafted code. The platform dictates that the specification is the central, authoritative artifact of the development process, and all other artifacts (source code, tests, deployment configurations) must be derived directly from it. No manual coding should bypass this blueprint.</w:t>
      </w:r>
    </w:p>
    <w:p w14:paraId="34BDF7D8" w14:textId="77777777" w:rsidR="00704B1C" w:rsidRPr="00704B1C" w:rsidRDefault="00704B1C" w:rsidP="00704B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4B1C">
        <w:rPr>
          <w:rFonts w:ascii="Times New Roman" w:eastAsia="Times New Roman" w:hAnsi="Times New Roman" w:cs="Times New Roman"/>
          <w:b/>
          <w:bCs/>
          <w:kern w:val="0"/>
          <w14:ligatures w14:val="none"/>
        </w:rPr>
        <w:t>The Autonomous Orchestration and Collaboration Directive:</w:t>
      </w:r>
      <w:r w:rsidRPr="00704B1C">
        <w:rPr>
          <w:rFonts w:ascii="Times New Roman" w:eastAsia="Times New Roman" w:hAnsi="Times New Roman" w:cs="Times New Roman"/>
          <w:kern w:val="0"/>
          <w14:ligatures w14:val="none"/>
        </w:rPr>
        <w:t xml:space="preserve"> The platform must not rely on a single, undifferentiated reasoning process. Instead, software construction must be orchestrated through coordinated, specialized reasoning agents (e.g., Architecture Planner, Implementation Generator, Repair Analyst). Furthermore, these agents must communicate exclusively through structured, bounded communication contracts rather than unbounded conversational exchanges.</w:t>
      </w:r>
    </w:p>
    <w:p w14:paraId="76D9EA2A" w14:textId="77777777" w:rsidR="00704B1C" w:rsidRPr="00704B1C" w:rsidRDefault="00704B1C" w:rsidP="00704B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4B1C">
        <w:rPr>
          <w:rFonts w:ascii="Times New Roman" w:eastAsia="Times New Roman" w:hAnsi="Times New Roman" w:cs="Times New Roman"/>
          <w:b/>
          <w:bCs/>
          <w:kern w:val="0"/>
          <w14:ligatures w14:val="none"/>
        </w:rPr>
        <w:t>The Governance and Observability Directive (The Watchtower Mandate):</w:t>
      </w:r>
      <w:r w:rsidRPr="00704B1C">
        <w:rPr>
          <w:rFonts w:ascii="Times New Roman" w:eastAsia="Times New Roman" w:hAnsi="Times New Roman" w:cs="Times New Roman"/>
          <w:kern w:val="0"/>
          <w14:ligatures w14:val="none"/>
        </w:rPr>
        <w:t xml:space="preserve"> Autonomous systems must remain transparent, auditable, and accountable to human oversight. The platform must continuously record telemetry detailing task execution, agent activity, and validation outcomes. Additionally, the platform must respect strict human </w:t>
      </w:r>
      <w:r w:rsidRPr="00704B1C">
        <w:rPr>
          <w:rFonts w:ascii="Times New Roman" w:eastAsia="Times New Roman" w:hAnsi="Times New Roman" w:cs="Times New Roman"/>
          <w:b/>
          <w:bCs/>
          <w:kern w:val="0"/>
          <w14:ligatures w14:val="none"/>
        </w:rPr>
        <w:t>Approval Gates</w:t>
      </w:r>
      <w:r w:rsidRPr="00704B1C">
        <w:rPr>
          <w:rFonts w:ascii="Times New Roman" w:eastAsia="Times New Roman" w:hAnsi="Times New Roman" w:cs="Times New Roman"/>
          <w:kern w:val="0"/>
          <w14:ligatures w14:val="none"/>
        </w:rPr>
        <w:t xml:space="preserve"> to ensure that construction operates within defined organizational, legal, and operational boundaries before proceeding.</w:t>
      </w:r>
    </w:p>
    <w:p w14:paraId="0EE69841" w14:textId="1F6520A8" w:rsidR="00704B1C" w:rsidRDefault="00704B1C" w:rsidP="00704B1C">
      <w:pPr>
        <w:pStyle w:val="Heading1"/>
        <w:rPr>
          <w:noProof/>
        </w:rPr>
      </w:pPr>
      <w:r>
        <w:rPr>
          <w:noProof/>
        </w:rPr>
        <w:lastRenderedPageBreak/>
        <w:t>Man-Machine Edge Directives</w:t>
      </w:r>
    </w:p>
    <w:p w14:paraId="6213A8DD" w14:textId="77777777" w:rsidR="00174590" w:rsidRPr="00174590" w:rsidRDefault="00174590" w:rsidP="00174590">
      <w:pPr>
        <w:spacing w:after="120" w:line="240" w:lineRule="auto"/>
        <w:rPr>
          <w:rFonts w:ascii="Times New Roman" w:eastAsia="Times New Roman" w:hAnsi="Times New Roman" w:cs="Times New Roman"/>
          <w:kern w:val="0"/>
          <w14:ligatures w14:val="none"/>
        </w:rPr>
      </w:pPr>
      <w:r w:rsidRPr="00174590">
        <w:rPr>
          <w:rFonts w:ascii="Times New Roman" w:eastAsia="Times New Roman" w:hAnsi="Times New Roman" w:cs="Times New Roman"/>
          <w:kern w:val="0"/>
          <w14:ligatures w14:val="none"/>
        </w:rPr>
        <w:t>To fully secure the human-machine boundaries and complete the lifecycle, we need to add two final directives that sit exactly at these edges:</w:t>
      </w:r>
    </w:p>
    <w:p w14:paraId="27422285" w14:textId="63EBEF1E" w:rsidR="00174590" w:rsidRPr="00174590" w:rsidRDefault="00174590" w:rsidP="00174590">
      <w:pPr>
        <w:pStyle w:val="ListParagraph"/>
        <w:numPr>
          <w:ilvl w:val="0"/>
          <w:numId w:val="14"/>
        </w:numPr>
        <w:spacing w:after="0" w:line="240" w:lineRule="auto"/>
        <w:rPr>
          <w:rFonts w:ascii="Times New Roman" w:eastAsia="Times New Roman" w:hAnsi="Times New Roman" w:cs="Times New Roman"/>
          <w:kern w:val="0"/>
          <w14:ligatures w14:val="none"/>
        </w:rPr>
      </w:pPr>
      <w:r w:rsidRPr="00174590">
        <w:rPr>
          <w:rFonts w:ascii="Times New Roman" w:eastAsia="Times New Roman" w:hAnsi="Times New Roman" w:cs="Times New Roman"/>
          <w:b/>
          <w:bCs/>
          <w:kern w:val="0"/>
          <w14:ligatures w14:val="none"/>
        </w:rPr>
        <w:t>The Human-Machine Escalation Directive (The "Andon Cord" Boundary)</w:t>
      </w:r>
      <w:r w:rsidRPr="00174590">
        <w:rPr>
          <w:rFonts w:ascii="Times New Roman" w:eastAsia="Times New Roman" w:hAnsi="Times New Roman" w:cs="Times New Roman"/>
          <w:kern w:val="0"/>
          <w14:ligatures w14:val="none"/>
        </w:rPr>
        <w:t xml:space="preserve"> We must explicitly define the boundary where machine autonomy ends. If the platform's automated repair loops exhaust their cycles without resolving a structural conflict—such as a generated component violating a mandatory CJIS policy—the machine must immediately halt execution and trigger a digital "Andon Cord". The system must route a formal </w:t>
      </w:r>
      <w:r w:rsidRPr="00174590">
        <w:rPr>
          <w:rFonts w:ascii="Times New Roman" w:eastAsia="Times New Roman" w:hAnsi="Times New Roman" w:cs="Times New Roman"/>
          <w:b/>
          <w:bCs/>
          <w:kern w:val="0"/>
          <w14:ligatures w14:val="none"/>
        </w:rPr>
        <w:t>Escalation Payload</w:t>
      </w:r>
      <w:r w:rsidRPr="00174590">
        <w:rPr>
          <w:rFonts w:ascii="Times New Roman" w:eastAsia="Times New Roman" w:hAnsi="Times New Roman" w:cs="Times New Roman"/>
          <w:kern w:val="0"/>
          <w14:ligatures w14:val="none"/>
        </w:rPr>
        <w:t xml:space="preserve"> back to human governance roles, ensuring that humans never manually fix code, but rather retain ultimate architectural authority by resolving the conflict at the blueprint level.</w:t>
      </w:r>
    </w:p>
    <w:p w14:paraId="2F3301F0" w14:textId="6D4145A9" w:rsidR="00174590" w:rsidRPr="00174590" w:rsidRDefault="00174590" w:rsidP="00174590">
      <w:pPr>
        <w:pStyle w:val="ListParagraph"/>
        <w:numPr>
          <w:ilvl w:val="0"/>
          <w:numId w:val="14"/>
        </w:numPr>
        <w:spacing w:after="0" w:line="240" w:lineRule="auto"/>
        <w:rPr>
          <w:rFonts w:ascii="Times New Roman" w:eastAsia="Times New Roman" w:hAnsi="Times New Roman" w:cs="Times New Roman"/>
          <w:kern w:val="0"/>
          <w14:ligatures w14:val="none"/>
        </w:rPr>
      </w:pPr>
      <w:r w:rsidRPr="00174590">
        <w:rPr>
          <w:rFonts w:ascii="Times New Roman" w:eastAsia="Times New Roman" w:hAnsi="Times New Roman" w:cs="Times New Roman"/>
          <w:b/>
          <w:bCs/>
          <w:kern w:val="0"/>
          <w14:ligatures w14:val="none"/>
        </w:rPr>
        <w:t>The Continuous Evolution Directive ("Day 2" Operations)</w:t>
      </w:r>
      <w:r w:rsidRPr="00174590">
        <w:rPr>
          <w:rFonts w:ascii="Times New Roman" w:eastAsia="Times New Roman" w:hAnsi="Times New Roman" w:cs="Times New Roman"/>
          <w:kern w:val="0"/>
          <w14:ligatures w14:val="none"/>
        </w:rPr>
        <w:t xml:space="preserve"> We need to cover the post-deployment edge. The software development lifecycle does not end at deployment, and IMHOTEP is designed to dynamically adapt constructed systems whenever business requirements change. If human authorities update the specification blueprint, the platform must utilize the Traceability Graph to perform an automated </w:t>
      </w:r>
      <w:r w:rsidRPr="00174590">
        <w:rPr>
          <w:rFonts w:ascii="Times New Roman" w:eastAsia="Times New Roman" w:hAnsi="Times New Roman" w:cs="Times New Roman"/>
          <w:b/>
          <w:bCs/>
          <w:kern w:val="0"/>
          <w14:ligatures w14:val="none"/>
        </w:rPr>
        <w:t>Impact Analysis</w:t>
      </w:r>
      <w:r w:rsidRPr="00174590">
        <w:rPr>
          <w:rFonts w:ascii="Times New Roman" w:eastAsia="Times New Roman" w:hAnsi="Times New Roman" w:cs="Times New Roman"/>
          <w:kern w:val="0"/>
          <w14:ligatures w14:val="none"/>
        </w:rPr>
        <w:t>. This dictates that the platform will only perform targeted reconstruction of the specifically affected components, replacing traditional manual maintenance with an automated, specification-driven evolution cycle.</w:t>
      </w:r>
    </w:p>
    <w:p w14:paraId="1262191D" w14:textId="77777777" w:rsidR="00704B1C" w:rsidRPr="00704B1C" w:rsidRDefault="00704B1C" w:rsidP="00704B1C">
      <w:pPr>
        <w:spacing w:before="100" w:beforeAutospacing="1" w:after="100" w:afterAutospacing="1" w:line="240" w:lineRule="auto"/>
        <w:rPr>
          <w:rFonts w:ascii="Times New Roman" w:eastAsia="Times New Roman" w:hAnsi="Times New Roman" w:cs="Times New Roman"/>
          <w:kern w:val="0"/>
          <w14:ligatures w14:val="none"/>
        </w:rPr>
      </w:pPr>
    </w:p>
    <w:p w14:paraId="555BFA18" w14:textId="77777777" w:rsidR="00D8203C" w:rsidRDefault="00D8203C" w:rsidP="00D8203C"/>
    <w:p w14:paraId="1EFDC0E6" w14:textId="77777777" w:rsidR="00D8203C" w:rsidRDefault="00D8203C" w:rsidP="00D8203C"/>
    <w:p w14:paraId="6AF27C85" w14:textId="77777777" w:rsidR="00D8203C" w:rsidRDefault="00D8203C" w:rsidP="00D8203C"/>
    <w:p w14:paraId="3D118D6C" w14:textId="77777777" w:rsidR="00D8203C" w:rsidRDefault="00D8203C" w:rsidP="00D8203C"/>
    <w:p w14:paraId="60651278" w14:textId="77777777" w:rsidR="00D8203C" w:rsidRDefault="00D8203C" w:rsidP="00D8203C"/>
    <w:p w14:paraId="44493A5C" w14:textId="77777777" w:rsidR="00D8203C" w:rsidRDefault="00D8203C" w:rsidP="00D8203C"/>
    <w:p w14:paraId="5A04AB7F" w14:textId="77777777" w:rsidR="00D8203C" w:rsidRPr="00D8203C" w:rsidRDefault="00D8203C" w:rsidP="00D8203C"/>
    <w:sectPr w:rsidR="00D8203C" w:rsidRPr="00D8203C"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022"/>
    <w:multiLevelType w:val="multilevel"/>
    <w:tmpl w:val="91F0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3A88"/>
    <w:multiLevelType w:val="multilevel"/>
    <w:tmpl w:val="4CA0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F41BD"/>
    <w:multiLevelType w:val="multilevel"/>
    <w:tmpl w:val="487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540DD"/>
    <w:multiLevelType w:val="multilevel"/>
    <w:tmpl w:val="5B3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543D0"/>
    <w:multiLevelType w:val="multilevel"/>
    <w:tmpl w:val="8264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06FCC"/>
    <w:multiLevelType w:val="multilevel"/>
    <w:tmpl w:val="786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879E3"/>
    <w:multiLevelType w:val="multilevel"/>
    <w:tmpl w:val="A12E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5067B"/>
    <w:multiLevelType w:val="multilevel"/>
    <w:tmpl w:val="83C0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31C36"/>
    <w:multiLevelType w:val="multilevel"/>
    <w:tmpl w:val="0DA2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D53398"/>
    <w:multiLevelType w:val="hybridMultilevel"/>
    <w:tmpl w:val="08E20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4F0125"/>
    <w:multiLevelType w:val="multilevel"/>
    <w:tmpl w:val="0C70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7436E"/>
    <w:multiLevelType w:val="multilevel"/>
    <w:tmpl w:val="3BB6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A149D0"/>
    <w:multiLevelType w:val="multilevel"/>
    <w:tmpl w:val="E5EA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D662FB"/>
    <w:multiLevelType w:val="multilevel"/>
    <w:tmpl w:val="146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833687">
    <w:abstractNumId w:val="1"/>
  </w:num>
  <w:num w:numId="2" w16cid:durableId="1772701790">
    <w:abstractNumId w:val="8"/>
  </w:num>
  <w:num w:numId="3" w16cid:durableId="5177472">
    <w:abstractNumId w:val="13"/>
  </w:num>
  <w:num w:numId="4" w16cid:durableId="1333407925">
    <w:abstractNumId w:val="11"/>
  </w:num>
  <w:num w:numId="5" w16cid:durableId="546990403">
    <w:abstractNumId w:val="7"/>
  </w:num>
  <w:num w:numId="6" w16cid:durableId="1571038851">
    <w:abstractNumId w:val="0"/>
  </w:num>
  <w:num w:numId="7" w16cid:durableId="733308927">
    <w:abstractNumId w:val="10"/>
  </w:num>
  <w:num w:numId="8" w16cid:durableId="868835692">
    <w:abstractNumId w:val="3"/>
  </w:num>
  <w:num w:numId="9" w16cid:durableId="886453108">
    <w:abstractNumId w:val="6"/>
  </w:num>
  <w:num w:numId="10" w16cid:durableId="240064221">
    <w:abstractNumId w:val="2"/>
  </w:num>
  <w:num w:numId="11" w16cid:durableId="937714149">
    <w:abstractNumId w:val="5"/>
  </w:num>
  <w:num w:numId="12" w16cid:durableId="1859584073">
    <w:abstractNumId w:val="12"/>
  </w:num>
  <w:num w:numId="13" w16cid:durableId="1020855631">
    <w:abstractNumId w:val="4"/>
  </w:num>
  <w:num w:numId="14" w16cid:durableId="1954510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03C"/>
    <w:rsid w:val="00174590"/>
    <w:rsid w:val="00223A5B"/>
    <w:rsid w:val="002E7B10"/>
    <w:rsid w:val="00327DA9"/>
    <w:rsid w:val="005F714F"/>
    <w:rsid w:val="006A7C31"/>
    <w:rsid w:val="006F4208"/>
    <w:rsid w:val="00704B1C"/>
    <w:rsid w:val="00984106"/>
    <w:rsid w:val="00997A3E"/>
    <w:rsid w:val="00A865EE"/>
    <w:rsid w:val="00C2250B"/>
    <w:rsid w:val="00CA38A3"/>
    <w:rsid w:val="00D8203C"/>
    <w:rsid w:val="00E77B10"/>
    <w:rsid w:val="00EB6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17C0"/>
  <w15:chartTrackingRefBased/>
  <w15:docId w15:val="{8FA2CB16-189E-A843-987D-2D21C402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2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2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03C"/>
    <w:rPr>
      <w:rFonts w:eastAsiaTheme="majorEastAsia" w:cstheme="majorBidi"/>
      <w:color w:val="272727" w:themeColor="text1" w:themeTint="D8"/>
    </w:rPr>
  </w:style>
  <w:style w:type="paragraph" w:styleId="Title">
    <w:name w:val="Title"/>
    <w:basedOn w:val="Normal"/>
    <w:next w:val="Normal"/>
    <w:link w:val="TitleChar"/>
    <w:uiPriority w:val="10"/>
    <w:qFormat/>
    <w:rsid w:val="00D82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03C"/>
    <w:pPr>
      <w:spacing w:before="160"/>
      <w:jc w:val="center"/>
    </w:pPr>
    <w:rPr>
      <w:i/>
      <w:iCs/>
      <w:color w:val="404040" w:themeColor="text1" w:themeTint="BF"/>
    </w:rPr>
  </w:style>
  <w:style w:type="character" w:customStyle="1" w:styleId="QuoteChar">
    <w:name w:val="Quote Char"/>
    <w:basedOn w:val="DefaultParagraphFont"/>
    <w:link w:val="Quote"/>
    <w:uiPriority w:val="29"/>
    <w:rsid w:val="00D8203C"/>
    <w:rPr>
      <w:i/>
      <w:iCs/>
      <w:color w:val="404040" w:themeColor="text1" w:themeTint="BF"/>
    </w:rPr>
  </w:style>
  <w:style w:type="paragraph" w:styleId="ListParagraph">
    <w:name w:val="List Paragraph"/>
    <w:basedOn w:val="Normal"/>
    <w:uiPriority w:val="34"/>
    <w:qFormat/>
    <w:rsid w:val="00D8203C"/>
    <w:pPr>
      <w:ind w:left="720"/>
      <w:contextualSpacing/>
    </w:pPr>
  </w:style>
  <w:style w:type="character" w:styleId="IntenseEmphasis">
    <w:name w:val="Intense Emphasis"/>
    <w:basedOn w:val="DefaultParagraphFont"/>
    <w:uiPriority w:val="21"/>
    <w:qFormat/>
    <w:rsid w:val="00D8203C"/>
    <w:rPr>
      <w:i/>
      <w:iCs/>
      <w:color w:val="0F4761" w:themeColor="accent1" w:themeShade="BF"/>
    </w:rPr>
  </w:style>
  <w:style w:type="paragraph" w:styleId="IntenseQuote">
    <w:name w:val="Intense Quote"/>
    <w:basedOn w:val="Normal"/>
    <w:next w:val="Normal"/>
    <w:link w:val="IntenseQuoteChar"/>
    <w:uiPriority w:val="30"/>
    <w:qFormat/>
    <w:rsid w:val="00D82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03C"/>
    <w:rPr>
      <w:i/>
      <w:iCs/>
      <w:color w:val="0F4761" w:themeColor="accent1" w:themeShade="BF"/>
    </w:rPr>
  </w:style>
  <w:style w:type="character" w:styleId="IntenseReference">
    <w:name w:val="Intense Reference"/>
    <w:basedOn w:val="DefaultParagraphFont"/>
    <w:uiPriority w:val="32"/>
    <w:qFormat/>
    <w:rsid w:val="00D8203C"/>
    <w:rPr>
      <w:b/>
      <w:bCs/>
      <w:smallCaps/>
      <w:color w:val="0F4761" w:themeColor="accent1" w:themeShade="BF"/>
      <w:spacing w:val="5"/>
    </w:rPr>
  </w:style>
  <w:style w:type="paragraph" w:styleId="NormalWeb">
    <w:name w:val="Normal (Web)"/>
    <w:basedOn w:val="Normal"/>
    <w:uiPriority w:val="99"/>
    <w:semiHidden/>
    <w:unhideWhenUsed/>
    <w:rsid w:val="00D820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203C"/>
    <w:rPr>
      <w:b/>
      <w:bCs/>
    </w:rPr>
  </w:style>
  <w:style w:type="character" w:styleId="HTMLCode">
    <w:name w:val="HTML Code"/>
    <w:basedOn w:val="DefaultParagraphFont"/>
    <w:uiPriority w:val="99"/>
    <w:semiHidden/>
    <w:unhideWhenUsed/>
    <w:rsid w:val="00D8203C"/>
    <w:rPr>
      <w:rFonts w:ascii="Courier New" w:eastAsia="Times New Roman" w:hAnsi="Courier New" w:cs="Courier New"/>
      <w:sz w:val="20"/>
      <w:szCs w:val="20"/>
    </w:rPr>
  </w:style>
  <w:style w:type="character" w:styleId="Emphasis">
    <w:name w:val="Emphasis"/>
    <w:basedOn w:val="DefaultParagraphFont"/>
    <w:uiPriority w:val="20"/>
    <w:qFormat/>
    <w:rsid w:val="00D8203C"/>
    <w:rPr>
      <w:i/>
      <w:iCs/>
    </w:rPr>
  </w:style>
  <w:style w:type="character" w:customStyle="1" w:styleId="ng-star-inserted">
    <w:name w:val="ng-star-inserted"/>
    <w:basedOn w:val="DefaultParagraphFont"/>
    <w:rsid w:val="00D8203C"/>
  </w:style>
  <w:style w:type="paragraph" w:customStyle="1" w:styleId="paragraph">
    <w:name w:val="paragraph"/>
    <w:basedOn w:val="Normal"/>
    <w:rsid w:val="00D8203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2</cp:revision>
  <dcterms:created xsi:type="dcterms:W3CDTF">2026-03-27T20:49:00Z</dcterms:created>
  <dcterms:modified xsi:type="dcterms:W3CDTF">2026-03-28T11:16:00Z</dcterms:modified>
</cp:coreProperties>
</file>