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7870" w14:textId="77777777" w:rsidR="00874BF3" w:rsidRPr="000312CC" w:rsidRDefault="00874BF3" w:rsidP="00874BF3">
      <w:pPr>
        <w:pStyle w:val="Title"/>
        <w:rPr>
          <w:sz w:val="44"/>
          <w:szCs w:val="44"/>
        </w:rPr>
      </w:pPr>
      <w:r w:rsidRPr="000312CC">
        <w:rPr>
          <w:sz w:val="44"/>
          <w:szCs w:val="44"/>
        </w:rPr>
        <w:t>IMHOTEP Specification Language (ISL) v1.7</w:t>
      </w:r>
    </w:p>
    <w:p w14:paraId="126E3C41" w14:textId="77777777" w:rsidR="00874BF3" w:rsidRDefault="00874BF3" w:rsidP="00874BF3">
      <w:pPr>
        <w:pStyle w:val="Heading1"/>
      </w:pPr>
      <w:r>
        <w:t>ISL v1.7 The Governance and Control Model</w:t>
      </w:r>
    </w:p>
    <w:p w14:paraId="2A0A3BBE" w14:textId="77777777" w:rsidR="00874BF3" w:rsidRPr="003E5429" w:rsidRDefault="00874BF3" w:rsidP="00874BF3">
      <w:pPr>
        <w:pStyle w:val="Heading2"/>
      </w:pPr>
      <w:r w:rsidRPr="003E5429">
        <w:t>1.0 Purpose of the Governance and Control Model</w:t>
      </w:r>
    </w:p>
    <w:p w14:paraId="65A2AF5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The Governance and Control Model </w:t>
      </w:r>
      <w:proofErr w:type="gramStart"/>
      <w:r w:rsidRPr="003E5429">
        <w:rPr>
          <w:rFonts w:ascii="Arial" w:hAnsi="Arial" w:cs="Arial"/>
        </w:rPr>
        <w:t>defines</w:t>
      </w:r>
      <w:proofErr w:type="gramEnd"/>
      <w:r w:rsidRPr="003E5429">
        <w:rPr>
          <w:rFonts w:ascii="Arial" w:hAnsi="Arial" w:cs="Arial"/>
        </w:rPr>
        <w:t xml:space="preserve"> the mechanisms through which organizations maintain oversight of the autonomous software construction processes performed by the IMHOTEP platform. While the specification language and execution model enable the platform to build software systems autonomously, governance ensures that this autonomy operates within defined organizational, legal, and operational boundaries.</w:t>
      </w:r>
    </w:p>
    <w:p w14:paraId="2D2E0CE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In enterprise environments, software systems must comply with internal policies, regulatory frameworks, security standards, and risk management practices. The governance model ensures that the autonomous development lifecycle remains aligned with these expectations. It establishes a framework in which automated construction is balanced with human supervision and policy enforcement.</w:t>
      </w:r>
    </w:p>
    <w:p w14:paraId="5AB1C16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goal of governance is not to restrict the capabilities of the platform but to ensure that its operation remains accountable, auditable, and consistent with the objectives of the organization.</w:t>
      </w:r>
    </w:p>
    <w:p w14:paraId="70554AD5" w14:textId="77777777" w:rsidR="00874BF3" w:rsidRPr="003E5429" w:rsidRDefault="00874BF3" w:rsidP="00874BF3">
      <w:pPr>
        <w:pStyle w:val="Heading2"/>
      </w:pPr>
      <w:r w:rsidRPr="003E5429">
        <w:t>2.0 Governance as an Architectural Layer</w:t>
      </w:r>
    </w:p>
    <w:p w14:paraId="1324B2F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Within the IMHOTEP platform architecture, governance is treated as a dedicated control layer that operates alongside the planning and execution models. This layer monitors the behavior of the platform, evaluates decisions against policy constraints, and determines whether specific actions are permitted to proceed.</w:t>
      </w:r>
    </w:p>
    <w:p w14:paraId="01F32CB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treating governance as a structural layer of the system, the platform ensures that policy enforcement occurs continuously throughout the development lifecycle rather than being applied only at specific checkpoints.</w:t>
      </w:r>
    </w:p>
    <w:p w14:paraId="690720A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architectural approach allows governance policies to influence every stage of the construction process, from specification approval to deployment authorization.</w:t>
      </w:r>
    </w:p>
    <w:p w14:paraId="517D6F88" w14:textId="77777777" w:rsidR="00874BF3" w:rsidRPr="003E5429" w:rsidRDefault="00874BF3" w:rsidP="00874BF3">
      <w:pPr>
        <w:pStyle w:val="Heading2"/>
      </w:pPr>
      <w:r w:rsidRPr="003E5429">
        <w:t>3.0 Governance Roles</w:t>
      </w:r>
    </w:p>
    <w:p w14:paraId="542C875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recognizes that different organizational roles participate in the oversight of autonomous development processes. These roles may include architects, security professionals, compliance officers, operational managers, and executive sponsors.</w:t>
      </w:r>
    </w:p>
    <w:p w14:paraId="4B51647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Each governance role is associated with specific responsibilities related to reviewing specifications, approving readiness levels, validating security policies, and authorizing system deployment. The platform records these responsibilities within the specification and governance framework so that approval workflows can be executed consistently.</w:t>
      </w:r>
    </w:p>
    <w:p w14:paraId="0C87B16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lastRenderedPageBreak/>
        <w:t>While the exact governance structure may vary across organizations, the IMHOTEP platform supports the definition of governance roles that reflect the organization’s operational and regulatory requirements.</w:t>
      </w:r>
    </w:p>
    <w:p w14:paraId="4CAD682D" w14:textId="77777777" w:rsidR="00874BF3" w:rsidRPr="003E5429" w:rsidRDefault="00874BF3" w:rsidP="00874BF3">
      <w:pPr>
        <w:pStyle w:val="Heading2"/>
      </w:pPr>
      <w:r w:rsidRPr="003E5429">
        <w:t>4.0 Policy Definition</w:t>
      </w:r>
    </w:p>
    <w:p w14:paraId="3382632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Governance policies define the rules that guide the behavior of the autonomous construction process. These policies establish constraints that the platform must respect when interpreting specifications and generating system artifacts.</w:t>
      </w:r>
    </w:p>
    <w:p w14:paraId="2C23DDF0"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Policies may address areas such as security practices, data handling procedures, regulatory compliance requirements, technology standards, and operational risk management.</w:t>
      </w:r>
    </w:p>
    <w:p w14:paraId="77060E2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expressing these policies in a structured form within the specification framework, the platform can evaluate them automatically during execution and ensure that generated systems comply with organizational guidelines.</w:t>
      </w:r>
    </w:p>
    <w:p w14:paraId="3E5B24A6" w14:textId="77777777" w:rsidR="00874BF3" w:rsidRPr="003E5429" w:rsidRDefault="00874BF3" w:rsidP="00874BF3">
      <w:pPr>
        <w:pStyle w:val="Heading2"/>
      </w:pPr>
      <w:r w:rsidRPr="003E5429">
        <w:t>5.0 Approval Gates</w:t>
      </w:r>
    </w:p>
    <w:p w14:paraId="4999CCA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introduces approval gates that regulate the progression of a specification through its readiness lifecycle. These gates represent points at which designated governance roles must review and approve the specification before it can proceed to the next stage.</w:t>
      </w:r>
    </w:p>
    <w:p w14:paraId="2C4CB5B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For example, a specification may require architectural approval before reaching the Machine-Valid level, while security and compliance reviews may be required before the specification becomes Autonomous-Ready.</w:t>
      </w:r>
    </w:p>
    <w:p w14:paraId="15E3731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Approval gates ensure that critical design decisions are evaluated by the appropriate experts before the platform begins autonomous construction.</w:t>
      </w:r>
    </w:p>
    <w:p w14:paraId="51C3E644" w14:textId="77777777" w:rsidR="00874BF3" w:rsidRPr="003E5429" w:rsidRDefault="00874BF3" w:rsidP="00874BF3">
      <w:pPr>
        <w:pStyle w:val="Heading2"/>
      </w:pPr>
      <w:r w:rsidRPr="003E5429">
        <w:t>6.0 Policy Enforcement During Execution</w:t>
      </w:r>
    </w:p>
    <w:p w14:paraId="6365AA8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Once construction begins, the platform continuously evaluates generated artifacts against the governance policies defined in the specification. Policy enforcement occurs during multiple stages of the execution model, including artifact generation, verification tasks, and deployment preparation.</w:t>
      </w:r>
    </w:p>
    <w:p w14:paraId="4E4BBF21"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If a generated artifact violates a policy constraint, the platform identifies the issue and initiates corrective actions through the repair mechanisms described in the execution model. In some </w:t>
      </w:r>
      <w:proofErr w:type="gramStart"/>
      <w:r w:rsidRPr="003E5429">
        <w:rPr>
          <w:rFonts w:ascii="Arial" w:hAnsi="Arial" w:cs="Arial"/>
        </w:rPr>
        <w:t>cases</w:t>
      </w:r>
      <w:proofErr w:type="gramEnd"/>
      <w:r w:rsidRPr="003E5429">
        <w:rPr>
          <w:rFonts w:ascii="Arial" w:hAnsi="Arial" w:cs="Arial"/>
        </w:rPr>
        <w:t xml:space="preserve"> the platform may halt the construction process until the issue has been resolved or reviewed by a governance authority.</w:t>
      </w:r>
    </w:p>
    <w:p w14:paraId="4AF036C5"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continuous enforcement ensures that the resulting system remains compliant with organizational standards throughout its construction.</w:t>
      </w:r>
    </w:p>
    <w:p w14:paraId="7C71FEFA" w14:textId="77777777" w:rsidR="00874BF3" w:rsidRPr="003E5429" w:rsidRDefault="00874BF3" w:rsidP="00874BF3">
      <w:pPr>
        <w:pStyle w:val="Heading2"/>
      </w:pPr>
      <w:r w:rsidRPr="003E5429">
        <w:t>7.0 Risk Management</w:t>
      </w:r>
    </w:p>
    <w:p w14:paraId="3C4FADB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Autonomous development systems must be capable of identifying and managing potential risks associated with system construction and operation. The governance </w:t>
      </w:r>
      <w:r w:rsidRPr="003E5429">
        <w:rPr>
          <w:rFonts w:ascii="Arial" w:hAnsi="Arial" w:cs="Arial"/>
        </w:rPr>
        <w:lastRenderedPageBreak/>
        <w:t>model therefore incorporates mechanisms for evaluating risk factors related to architecture, security, performance, and operational stability.</w:t>
      </w:r>
    </w:p>
    <w:p w14:paraId="57C8FB4F"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Risk management policies may require additional review processes for systems operating in sensitive domains such as financial services, healthcare, or critical infrastructure. The platform can use these policies to adjust the level of oversight applied to the construction process.</w:t>
      </w:r>
    </w:p>
    <w:p w14:paraId="545DE2C2"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Through these mechanisms the platform ensures that higher-risk systems receive the additional scrutiny required to protect organizational interests.</w:t>
      </w:r>
    </w:p>
    <w:p w14:paraId="30D11D3F" w14:textId="77777777" w:rsidR="00874BF3" w:rsidRPr="003E5429" w:rsidRDefault="00874BF3" w:rsidP="00874BF3">
      <w:pPr>
        <w:pStyle w:val="Heading2"/>
      </w:pPr>
      <w:r w:rsidRPr="003E5429">
        <w:t>8.0 Observability of Governance Actions</w:t>
      </w:r>
    </w:p>
    <w:p w14:paraId="615BBB8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governance model requires that all policy evaluations, approvals, and enforcement actions be recorded as part of the platform’s operational history. These records provide transparency into how governance decisions influenced the construction process.</w:t>
      </w:r>
    </w:p>
    <w:p w14:paraId="1735E20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Observability mechanisms allow administrators and auditors to review the sequence of governance actions associated with a particular system. This includes the identities of approving authorities, the policies applied during execution, and the resolution of any issues encountered during construction.</w:t>
      </w:r>
    </w:p>
    <w:p w14:paraId="092C813B"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Maintaining this record ensures that governance activities remain visible and accountable.</w:t>
      </w:r>
    </w:p>
    <w:p w14:paraId="0B667CBE" w14:textId="77777777" w:rsidR="00874BF3" w:rsidRPr="003E5429" w:rsidRDefault="00874BF3" w:rsidP="00874BF3">
      <w:pPr>
        <w:pStyle w:val="Heading2"/>
      </w:pPr>
      <w:r w:rsidRPr="003E5429">
        <w:t>9.0 Auditability and Compliance</w:t>
      </w:r>
    </w:p>
    <w:p w14:paraId="75CC435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In many industries, organizations must demonstrate compliance with regulatory standards governing software systems. The IMHOTEP governance model supports this requirement by maintaining detailed records of the specification, construction process, and policy evaluations associated with each system.</w:t>
      </w:r>
    </w:p>
    <w:p w14:paraId="3841256C"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Auditors can examine these records to verify that systems were constructed according to approved specifications and that all relevant policies were enforced during the development lifecycle.</w:t>
      </w:r>
    </w:p>
    <w:p w14:paraId="36456399"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The traceability model defined in ISL v1.4 works closely with the governance model to provide a complete record of how each requirement was implemented and validated.</w:t>
      </w:r>
    </w:p>
    <w:p w14:paraId="1F0AA360" w14:textId="77777777" w:rsidR="00874BF3" w:rsidRPr="003E5429" w:rsidRDefault="00874BF3" w:rsidP="00874BF3">
      <w:pPr>
        <w:pStyle w:val="Heading2"/>
      </w:pPr>
      <w:r w:rsidRPr="003E5429">
        <w:t>10.0 Exception Handling and Escalation</w:t>
      </w:r>
    </w:p>
    <w:p w14:paraId="762A5597"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Despite the presence of well-defined policies, situations may arise in which the platform encounters conflicts between specification requirements and governance constraints. The governance model provides mechanisms for handling such exceptions.</w:t>
      </w:r>
    </w:p>
    <w:p w14:paraId="5122792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When conflicts occur, the platform may escalate the issue to designated governance roles for review. These authorities may approve an exception, modify the specification, or adjust policy definitions as necessary.</w:t>
      </w:r>
    </w:p>
    <w:p w14:paraId="328E3A83"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incorporating escalation mechanisms into the governance framework, the platform ensures that exceptional situations can be resolved responsibly without compromising the integrity of the system.</w:t>
      </w:r>
    </w:p>
    <w:p w14:paraId="156784AA" w14:textId="77777777" w:rsidR="00874BF3" w:rsidRPr="003E5429" w:rsidRDefault="00874BF3" w:rsidP="00874BF3">
      <w:pPr>
        <w:pStyle w:val="Heading2"/>
      </w:pPr>
      <w:r w:rsidRPr="003E5429">
        <w:lastRenderedPageBreak/>
        <w:t>11.0 Continuous Governance Throughout the Lifecycle</w:t>
      </w:r>
    </w:p>
    <w:p w14:paraId="3F5935C4"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Governance is not limited to the initial construction of the system. As specifications evolve and systems are updated, governance policies continue to guide the platform’s behavior.</w:t>
      </w:r>
    </w:p>
    <w:p w14:paraId="5C706908"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Whenever a specification changes, the platform reevaluates the affected components against the governance policies defined for the project. If necessary, additional approvals may be required before the updated system can be reconstructed or redeployed.</w:t>
      </w:r>
    </w:p>
    <w:p w14:paraId="5F7A4706"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This continuous governance ensures that the system remains compliant with organizational standards throughout its lifecycle.</w:t>
      </w:r>
    </w:p>
    <w:p w14:paraId="71039954" w14:textId="77777777" w:rsidR="00874BF3" w:rsidRPr="003E5429" w:rsidRDefault="00874BF3" w:rsidP="00874BF3">
      <w:pPr>
        <w:pStyle w:val="Heading2"/>
      </w:pPr>
      <w:r w:rsidRPr="003E5429">
        <w:t>12.0 Governance as the Stewardship of Autonomous Construction</w:t>
      </w:r>
    </w:p>
    <w:p w14:paraId="321E17CA"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Within the architectural metaphor of the IMHOTEP project, the governance model represents the stewardship that ensures the integrity of the construction process. Just as historical architectural projects required overseers responsible for maintaining standards and ensuring adherence to design principles, autonomous software construction requires a framework that safeguards the quality and responsibility of the systems produced.</w:t>
      </w:r>
    </w:p>
    <w:p w14:paraId="478365FE"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By integrating governance directly into the specification language and execution model, IMHOTEP ensures that the power of autonomous development remains aligned with human oversight and organizational accountability.</w:t>
      </w:r>
    </w:p>
    <w:p w14:paraId="16EC914D" w14:textId="77777777" w:rsidR="00874BF3" w:rsidRPr="003E5429" w:rsidRDefault="00874BF3" w:rsidP="00874BF3">
      <w:pPr>
        <w:pStyle w:val="NormalWeb"/>
        <w:spacing w:before="120" w:beforeAutospacing="0" w:after="120" w:afterAutospacing="0"/>
        <w:rPr>
          <w:rFonts w:ascii="Arial" w:hAnsi="Arial" w:cs="Arial"/>
        </w:rPr>
      </w:pPr>
      <w:r w:rsidRPr="003E5429">
        <w:rPr>
          <w:rFonts w:ascii="Arial" w:hAnsi="Arial" w:cs="Arial"/>
        </w:rPr>
        <w:t xml:space="preserve">In this way, the Governance and Control Model </w:t>
      </w:r>
      <w:proofErr w:type="gramStart"/>
      <w:r w:rsidRPr="003E5429">
        <w:rPr>
          <w:rFonts w:ascii="Arial" w:hAnsi="Arial" w:cs="Arial"/>
        </w:rPr>
        <w:t>enables</w:t>
      </w:r>
      <w:proofErr w:type="gramEnd"/>
      <w:r w:rsidRPr="003E5429">
        <w:rPr>
          <w:rFonts w:ascii="Arial" w:hAnsi="Arial" w:cs="Arial"/>
        </w:rPr>
        <w:t xml:space="preserve"> organizations to embrace autonomous software construction while preserving the trust and responsibility required for enterprise-grade systems.</w:t>
      </w:r>
    </w:p>
    <w:p w14:paraId="0C8EEA27" w14:textId="77777777" w:rsidR="00874BF3" w:rsidRPr="003E5429" w:rsidRDefault="00874BF3" w:rsidP="00874BF3">
      <w:pPr>
        <w:pStyle w:val="NormalWeb"/>
        <w:spacing w:before="120" w:beforeAutospacing="0" w:after="120" w:afterAutospacing="0"/>
        <w:rPr>
          <w:rFonts w:ascii="Arial" w:hAnsi="Arial" w:cs="Arial"/>
        </w:rPr>
      </w:pPr>
    </w:p>
    <w:p w14:paraId="61B98FF7" w14:textId="77777777" w:rsidR="00874BF3" w:rsidRPr="003E5429" w:rsidRDefault="00874BF3" w:rsidP="00874BF3">
      <w:pPr>
        <w:pStyle w:val="NormalWeb"/>
        <w:spacing w:before="0" w:beforeAutospacing="0" w:after="120" w:afterAutospacing="0"/>
        <w:rPr>
          <w:rFonts w:ascii="Arial" w:hAnsi="Arial" w:cs="Arial"/>
        </w:rPr>
      </w:pPr>
    </w:p>
    <w:p w14:paraId="26D4E09B" w14:textId="77777777" w:rsidR="00874BF3" w:rsidRDefault="00874BF3" w:rsidP="00874BF3">
      <w:pPr>
        <w:pStyle w:val="NormalWeb"/>
        <w:spacing w:before="0" w:beforeAutospacing="0" w:after="120" w:afterAutospacing="0"/>
        <w:rPr>
          <w:rFonts w:ascii="Arial" w:hAnsi="Arial" w:cs="Arial"/>
        </w:rPr>
      </w:pPr>
    </w:p>
    <w:p w14:paraId="71C7A8B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F3"/>
    <w:rsid w:val="00223A5B"/>
    <w:rsid w:val="005F714F"/>
    <w:rsid w:val="006A7C31"/>
    <w:rsid w:val="006F4208"/>
    <w:rsid w:val="00874BF3"/>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471902"/>
  <w15:chartTrackingRefBased/>
  <w15:docId w15:val="{AC1FB1C7-C304-DA49-A722-D82E016A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BF3"/>
    <w:rPr>
      <w:rFonts w:eastAsiaTheme="majorEastAsia" w:cstheme="majorBidi"/>
      <w:color w:val="272727" w:themeColor="text1" w:themeTint="D8"/>
    </w:rPr>
  </w:style>
  <w:style w:type="paragraph" w:styleId="Title">
    <w:name w:val="Title"/>
    <w:basedOn w:val="Normal"/>
    <w:next w:val="Normal"/>
    <w:link w:val="TitleChar"/>
    <w:uiPriority w:val="10"/>
    <w:qFormat/>
    <w:rsid w:val="0087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BF3"/>
    <w:pPr>
      <w:spacing w:before="160"/>
      <w:jc w:val="center"/>
    </w:pPr>
    <w:rPr>
      <w:i/>
      <w:iCs/>
      <w:color w:val="404040" w:themeColor="text1" w:themeTint="BF"/>
    </w:rPr>
  </w:style>
  <w:style w:type="character" w:customStyle="1" w:styleId="QuoteChar">
    <w:name w:val="Quote Char"/>
    <w:basedOn w:val="DefaultParagraphFont"/>
    <w:link w:val="Quote"/>
    <w:uiPriority w:val="29"/>
    <w:rsid w:val="00874BF3"/>
    <w:rPr>
      <w:i/>
      <w:iCs/>
      <w:color w:val="404040" w:themeColor="text1" w:themeTint="BF"/>
    </w:rPr>
  </w:style>
  <w:style w:type="paragraph" w:styleId="ListParagraph">
    <w:name w:val="List Paragraph"/>
    <w:basedOn w:val="Normal"/>
    <w:uiPriority w:val="34"/>
    <w:qFormat/>
    <w:rsid w:val="00874BF3"/>
    <w:pPr>
      <w:ind w:left="720"/>
      <w:contextualSpacing/>
    </w:pPr>
  </w:style>
  <w:style w:type="character" w:styleId="IntenseEmphasis">
    <w:name w:val="Intense Emphasis"/>
    <w:basedOn w:val="DefaultParagraphFont"/>
    <w:uiPriority w:val="21"/>
    <w:qFormat/>
    <w:rsid w:val="00874BF3"/>
    <w:rPr>
      <w:i/>
      <w:iCs/>
      <w:color w:val="0F4761" w:themeColor="accent1" w:themeShade="BF"/>
    </w:rPr>
  </w:style>
  <w:style w:type="paragraph" w:styleId="IntenseQuote">
    <w:name w:val="Intense Quote"/>
    <w:basedOn w:val="Normal"/>
    <w:next w:val="Normal"/>
    <w:link w:val="IntenseQuoteChar"/>
    <w:uiPriority w:val="30"/>
    <w:qFormat/>
    <w:rsid w:val="0087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BF3"/>
    <w:rPr>
      <w:i/>
      <w:iCs/>
      <w:color w:val="0F4761" w:themeColor="accent1" w:themeShade="BF"/>
    </w:rPr>
  </w:style>
  <w:style w:type="character" w:styleId="IntenseReference">
    <w:name w:val="Intense Reference"/>
    <w:basedOn w:val="DefaultParagraphFont"/>
    <w:uiPriority w:val="32"/>
    <w:qFormat/>
    <w:rsid w:val="00874BF3"/>
    <w:rPr>
      <w:b/>
      <w:bCs/>
      <w:smallCaps/>
      <w:color w:val="0F4761" w:themeColor="accent1" w:themeShade="BF"/>
      <w:spacing w:val="5"/>
    </w:rPr>
  </w:style>
  <w:style w:type="paragraph" w:styleId="NormalWeb">
    <w:name w:val="Normal (Web)"/>
    <w:basedOn w:val="Normal"/>
    <w:uiPriority w:val="99"/>
    <w:semiHidden/>
    <w:unhideWhenUsed/>
    <w:rsid w:val="00874B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1365</Words>
  <Characters>7781</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2026-03-18T19:20:00Z</dcterms:created>
  <dcterms:modified xsi:type="dcterms:W3CDTF">2026-03-18T19:21:00Z</dcterms:modified>
</cp:coreProperties>
</file>