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85F1" w14:textId="77777777" w:rsidR="00423165" w:rsidRPr="003B04A1" w:rsidRDefault="00423165" w:rsidP="00423165">
      <w:pPr>
        <w:pStyle w:val="Title"/>
        <w:rPr>
          <w:sz w:val="44"/>
          <w:szCs w:val="44"/>
        </w:rPr>
      </w:pPr>
      <w:r w:rsidRPr="003B04A1">
        <w:rPr>
          <w:sz w:val="44"/>
          <w:szCs w:val="44"/>
        </w:rPr>
        <w:t>IMHOTEP Specification Language (ISL) v2.7</w:t>
      </w:r>
    </w:p>
    <w:p w14:paraId="3BA05EA5" w14:textId="77777777" w:rsidR="00423165" w:rsidRPr="003B04A1" w:rsidRDefault="00423165" w:rsidP="00423165">
      <w:pPr>
        <w:pStyle w:val="Heading1"/>
        <w:spacing w:before="120" w:after="120"/>
        <w:rPr>
          <w:rFonts w:ascii="Arial" w:hAnsi="Arial" w:cs="Arial"/>
        </w:rPr>
      </w:pPr>
      <w:r w:rsidRPr="003B04A1">
        <w:rPr>
          <w:rFonts w:ascii="Arial" w:hAnsi="Arial" w:cs="Arial"/>
        </w:rPr>
        <w:t>ISL v2.7 The Enterprise Deployment and Scaling Model</w:t>
      </w:r>
    </w:p>
    <w:p w14:paraId="125BAF98" w14:textId="77777777" w:rsidR="00423165" w:rsidRPr="003B04A1" w:rsidRDefault="00423165" w:rsidP="00423165">
      <w:pPr>
        <w:pStyle w:val="Heading2"/>
        <w:spacing w:before="120" w:after="120"/>
        <w:rPr>
          <w:rFonts w:ascii="Arial" w:hAnsi="Arial" w:cs="Arial"/>
        </w:rPr>
      </w:pPr>
      <w:r w:rsidRPr="003B04A1">
        <w:rPr>
          <w:rFonts w:ascii="Arial" w:hAnsi="Arial" w:cs="Arial"/>
        </w:rPr>
        <w:t>1.0 Purpose of the Deployment and Scaling Model</w:t>
      </w:r>
    </w:p>
    <w:p w14:paraId="626C10EA"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Enterprise Deployment and Scaling Model defines how the IMHOTEP platform is deployed, operated, and scaled across different computing environments. While earlier sections describe the internal architecture and operational behavior of the platform, this model explains how those components are distributed and managed in real-world deployments.</w:t>
      </w:r>
    </w:p>
    <w:p w14:paraId="66D1D1C6"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 xml:space="preserve">Organizations adopting IMHOTEP may operate in environments ranging from single workstations to </w:t>
      </w:r>
      <w:proofErr w:type="gramStart"/>
      <w:r w:rsidRPr="003B04A1">
        <w:rPr>
          <w:rFonts w:ascii="Arial" w:hAnsi="Arial" w:cs="Arial"/>
        </w:rPr>
        <w:t>large distributed</w:t>
      </w:r>
      <w:proofErr w:type="gramEnd"/>
      <w:r w:rsidRPr="003B04A1">
        <w:rPr>
          <w:rFonts w:ascii="Arial" w:hAnsi="Arial" w:cs="Arial"/>
        </w:rPr>
        <w:t xml:space="preserve"> infrastructures. The platform must therefore support flexible deployment strategies while preserving the architectural integrity of the system.</w:t>
      </w:r>
    </w:p>
    <w:p w14:paraId="1A6980EF"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purpose of this model is to ensure that IMHOTEP can operate effectively in both small-scale experimental environments and large enterprise ecosystems.</w:t>
      </w:r>
    </w:p>
    <w:p w14:paraId="5C8408CB" w14:textId="77777777" w:rsidR="00423165" w:rsidRPr="003B04A1" w:rsidRDefault="00423165" w:rsidP="00423165">
      <w:pPr>
        <w:pStyle w:val="Heading2"/>
        <w:spacing w:before="120" w:after="120"/>
        <w:rPr>
          <w:rFonts w:ascii="Arial" w:hAnsi="Arial" w:cs="Arial"/>
        </w:rPr>
      </w:pPr>
      <w:r w:rsidRPr="003B04A1">
        <w:rPr>
          <w:rFonts w:ascii="Arial" w:hAnsi="Arial" w:cs="Arial"/>
        </w:rPr>
        <w:t>2.0 Deployment Environments</w:t>
      </w:r>
    </w:p>
    <w:p w14:paraId="505247E2"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IMHOTEP platform is designed to operate in multiple deployment environments, each serving different operational needs. These environments represent increasing levels of scale and complexity.</w:t>
      </w:r>
    </w:p>
    <w:p w14:paraId="7F9C97C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Common deployment environments include:</w:t>
      </w:r>
    </w:p>
    <w:p w14:paraId="35774545" w14:textId="77777777" w:rsidR="00423165" w:rsidRPr="003B04A1" w:rsidRDefault="00423165" w:rsidP="00423165">
      <w:pPr>
        <w:pStyle w:val="NormalWeb"/>
        <w:numPr>
          <w:ilvl w:val="0"/>
          <w:numId w:val="1"/>
        </w:numPr>
        <w:spacing w:before="0" w:beforeAutospacing="0" w:after="0" w:afterAutospacing="0"/>
        <w:rPr>
          <w:rFonts w:ascii="Arial" w:hAnsi="Arial" w:cs="Arial"/>
        </w:rPr>
      </w:pPr>
      <w:r w:rsidRPr="003B04A1">
        <w:rPr>
          <w:rFonts w:ascii="Arial" w:hAnsi="Arial" w:cs="Arial"/>
        </w:rPr>
        <w:t>local standalone environments</w:t>
      </w:r>
    </w:p>
    <w:p w14:paraId="3BA946B4" w14:textId="77777777" w:rsidR="00423165" w:rsidRPr="003B04A1" w:rsidRDefault="00423165" w:rsidP="00423165">
      <w:pPr>
        <w:pStyle w:val="NormalWeb"/>
        <w:numPr>
          <w:ilvl w:val="0"/>
          <w:numId w:val="1"/>
        </w:numPr>
        <w:spacing w:before="0" w:beforeAutospacing="0" w:after="0" w:afterAutospacing="0"/>
        <w:rPr>
          <w:rFonts w:ascii="Arial" w:hAnsi="Arial" w:cs="Arial"/>
        </w:rPr>
      </w:pPr>
      <w:r w:rsidRPr="003B04A1">
        <w:rPr>
          <w:rFonts w:ascii="Arial" w:hAnsi="Arial" w:cs="Arial"/>
        </w:rPr>
        <w:t>team development environments</w:t>
      </w:r>
    </w:p>
    <w:p w14:paraId="680A2AAD" w14:textId="77777777" w:rsidR="00423165" w:rsidRPr="003B04A1" w:rsidRDefault="00423165" w:rsidP="00423165">
      <w:pPr>
        <w:pStyle w:val="NormalWeb"/>
        <w:numPr>
          <w:ilvl w:val="0"/>
          <w:numId w:val="1"/>
        </w:numPr>
        <w:spacing w:before="0" w:beforeAutospacing="0" w:after="0" w:afterAutospacing="0"/>
        <w:rPr>
          <w:rFonts w:ascii="Arial" w:hAnsi="Arial" w:cs="Arial"/>
        </w:rPr>
      </w:pPr>
      <w:r w:rsidRPr="003B04A1">
        <w:rPr>
          <w:rFonts w:ascii="Arial" w:hAnsi="Arial" w:cs="Arial"/>
        </w:rPr>
        <w:t>enterprise datacenter deployments</w:t>
      </w:r>
    </w:p>
    <w:p w14:paraId="69140D08" w14:textId="77777777" w:rsidR="00423165" w:rsidRPr="003B04A1" w:rsidRDefault="00423165" w:rsidP="00423165">
      <w:pPr>
        <w:pStyle w:val="NormalWeb"/>
        <w:numPr>
          <w:ilvl w:val="0"/>
          <w:numId w:val="1"/>
        </w:numPr>
        <w:spacing w:before="0" w:beforeAutospacing="0" w:after="0" w:afterAutospacing="0"/>
        <w:rPr>
          <w:rFonts w:ascii="Arial" w:hAnsi="Arial" w:cs="Arial"/>
        </w:rPr>
      </w:pPr>
      <w:r w:rsidRPr="003B04A1">
        <w:rPr>
          <w:rFonts w:ascii="Arial" w:hAnsi="Arial" w:cs="Arial"/>
        </w:rPr>
        <w:t>distributed cluster environments</w:t>
      </w:r>
    </w:p>
    <w:p w14:paraId="4144D21C" w14:textId="77777777" w:rsidR="00423165" w:rsidRPr="003B04A1" w:rsidRDefault="00423165" w:rsidP="00423165">
      <w:pPr>
        <w:pStyle w:val="NormalWeb"/>
        <w:numPr>
          <w:ilvl w:val="0"/>
          <w:numId w:val="1"/>
        </w:numPr>
        <w:spacing w:before="0" w:beforeAutospacing="0" w:after="120" w:afterAutospacing="0"/>
        <w:rPr>
          <w:rFonts w:ascii="Arial" w:hAnsi="Arial" w:cs="Arial"/>
        </w:rPr>
      </w:pPr>
      <w:r w:rsidRPr="003B04A1">
        <w:rPr>
          <w:rFonts w:ascii="Arial" w:hAnsi="Arial" w:cs="Arial"/>
        </w:rPr>
        <w:t>hybrid and cloud-integrated environments</w:t>
      </w:r>
    </w:p>
    <w:p w14:paraId="083D4CB9"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platform architecture ensures that the core subsystems remain consistent across these environments while allowing infrastructure components to scale as needed.</w:t>
      </w:r>
    </w:p>
    <w:p w14:paraId="32B512CD" w14:textId="77777777" w:rsidR="00423165" w:rsidRPr="003B04A1" w:rsidRDefault="00423165" w:rsidP="00423165">
      <w:pPr>
        <w:pStyle w:val="Heading2"/>
        <w:spacing w:before="120" w:after="120"/>
        <w:rPr>
          <w:rFonts w:ascii="Arial" w:hAnsi="Arial" w:cs="Arial"/>
        </w:rPr>
      </w:pPr>
      <w:r w:rsidRPr="003B04A1">
        <w:rPr>
          <w:rFonts w:ascii="Arial" w:hAnsi="Arial" w:cs="Arial"/>
        </w:rPr>
        <w:t>3.0 Local Development Deployment</w:t>
      </w:r>
    </w:p>
    <w:p w14:paraId="679F01C9"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simplest deployment model is the local development environment. In this configuration the IMHOTEP platform runs on a single machine, typically a developer workstation or a local server.</w:t>
      </w:r>
    </w:p>
    <w:p w14:paraId="5A14688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All core subsystems—including the specification engine, planning engine, agent orchestration system, execution runtime, and artifact repository—operate within the same environment. Local models may be used to support reasoning tasks, and local development tools provide deterministic validation.</w:t>
      </w:r>
    </w:p>
    <w:p w14:paraId="5BFA6A6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This deployment model is ideal for experimentation, prototyping, and early-stage development of specifications and platform features.</w:t>
      </w:r>
    </w:p>
    <w:p w14:paraId="30D06162" w14:textId="77777777" w:rsidR="00423165" w:rsidRPr="003B04A1" w:rsidRDefault="00423165" w:rsidP="00423165">
      <w:pPr>
        <w:pStyle w:val="Heading2"/>
        <w:spacing w:before="120" w:after="120"/>
        <w:rPr>
          <w:rFonts w:ascii="Arial" w:hAnsi="Arial" w:cs="Arial"/>
        </w:rPr>
      </w:pPr>
      <w:r w:rsidRPr="003B04A1">
        <w:rPr>
          <w:rFonts w:ascii="Arial" w:hAnsi="Arial" w:cs="Arial"/>
        </w:rPr>
        <w:lastRenderedPageBreak/>
        <w:t>4.0 Team Development Environments</w:t>
      </w:r>
    </w:p>
    <w:p w14:paraId="4534CB63"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As teams begin to collaborate on IMHOTEP-based projects, the platform may be deployed in a shared development environment. In this configuration multiple users interact with a centralized IMHOTEP instance responsible for interpreting specifications and coordinating construction workflows.</w:t>
      </w:r>
    </w:p>
    <w:p w14:paraId="156B6631"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artifact repository may be integrated with a shared version control system, allowing team members to review and collaborate on generated artifacts. Governance policies may also begin to play a more prominent role in managing access and approval processes.</w:t>
      </w:r>
    </w:p>
    <w:p w14:paraId="543C1561"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Team environments provide the foundation for collaborative autonomous development.</w:t>
      </w:r>
    </w:p>
    <w:p w14:paraId="200D1131" w14:textId="77777777" w:rsidR="00423165" w:rsidRPr="003B04A1" w:rsidRDefault="00423165" w:rsidP="00423165">
      <w:pPr>
        <w:pStyle w:val="Heading2"/>
        <w:spacing w:before="120" w:after="120"/>
        <w:rPr>
          <w:rFonts w:ascii="Arial" w:hAnsi="Arial" w:cs="Arial"/>
        </w:rPr>
      </w:pPr>
      <w:r w:rsidRPr="003B04A1">
        <w:rPr>
          <w:rFonts w:ascii="Arial" w:hAnsi="Arial" w:cs="Arial"/>
        </w:rPr>
        <w:t>5.0 Enterprise Datacenter Deployments</w:t>
      </w:r>
    </w:p>
    <w:p w14:paraId="30594E4F"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In enterprise environments the IMHOTEP platform may be deployed within organizational datacenters where it integrates with existing development infrastructure, security systems, and governance frameworks.</w:t>
      </w:r>
    </w:p>
    <w:p w14:paraId="6D1DE771"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In such deployments the platform subsystems may be distributed across multiple servers. The execution runtime may operate on dedicated processing nodes, while artifact repositories and telemetry storage systems operate on persistent infrastructure services.</w:t>
      </w:r>
    </w:p>
    <w:p w14:paraId="2F44C37A"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Enterprise deployments emphasize reliability, security, and integration with organizational operational practices.</w:t>
      </w:r>
    </w:p>
    <w:p w14:paraId="7C0BE8AC" w14:textId="77777777" w:rsidR="00423165" w:rsidRPr="003B04A1" w:rsidRDefault="00423165" w:rsidP="00423165">
      <w:pPr>
        <w:pStyle w:val="Heading2"/>
        <w:spacing w:before="120" w:after="120"/>
        <w:rPr>
          <w:rFonts w:ascii="Arial" w:hAnsi="Arial" w:cs="Arial"/>
        </w:rPr>
      </w:pPr>
      <w:r w:rsidRPr="003B04A1">
        <w:rPr>
          <w:rFonts w:ascii="Arial" w:hAnsi="Arial" w:cs="Arial"/>
        </w:rPr>
        <w:t>6.0 Distributed Cluster Environments</w:t>
      </w:r>
    </w:p>
    <w:p w14:paraId="6FEA080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For large-scale software construction activities, the IMHOTEP platform may operate within distributed cluster environments that provide substantial computational resources.</w:t>
      </w:r>
    </w:p>
    <w:p w14:paraId="00427346"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In this configuration construction tasks may be distributed across multiple nodes, allowing large task graphs to be executed in parallel. Agent reasoning tasks, model inference operations, and deterministic tool invocations may be distributed across cluster resources.</w:t>
      </w:r>
    </w:p>
    <w:p w14:paraId="104CF49D"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Cluster deployments enable the platform to handle complex systems with large numbers of components and construction tasks.</w:t>
      </w:r>
    </w:p>
    <w:p w14:paraId="7350D6A4" w14:textId="77777777" w:rsidR="00423165" w:rsidRPr="003B04A1" w:rsidRDefault="00423165" w:rsidP="00423165">
      <w:pPr>
        <w:pStyle w:val="Heading2"/>
        <w:spacing w:before="120" w:after="120"/>
        <w:rPr>
          <w:rFonts w:ascii="Arial" w:hAnsi="Arial" w:cs="Arial"/>
        </w:rPr>
      </w:pPr>
      <w:r w:rsidRPr="003B04A1">
        <w:rPr>
          <w:rFonts w:ascii="Arial" w:hAnsi="Arial" w:cs="Arial"/>
        </w:rPr>
        <w:t>7.0 Hybrid and Cloud-Integrated Environments</w:t>
      </w:r>
    </w:p>
    <w:p w14:paraId="7F47553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Although IMHOTEP follows a local-first philosophy, the platform may also integrate with cloud-based services where appropriate. Hybrid deployments allow organizations to combine local infrastructure with external services such as scalable model inference systems or cloud-based artifact storage.</w:t>
      </w:r>
    </w:p>
    <w:p w14:paraId="6E9CB96D"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This hybrid approach allows organizations to benefit from external computational resources while maintaining control over sensitive data and operational processes.</w:t>
      </w:r>
    </w:p>
    <w:p w14:paraId="0D828F73"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architecture ensures that the platform can transition between local and cloud-integrated deployments without structural changes.</w:t>
      </w:r>
    </w:p>
    <w:p w14:paraId="64C5E433" w14:textId="77777777" w:rsidR="00423165" w:rsidRPr="003B04A1" w:rsidRDefault="00423165" w:rsidP="00423165">
      <w:pPr>
        <w:pStyle w:val="Heading2"/>
        <w:spacing w:before="120" w:after="120"/>
        <w:rPr>
          <w:rFonts w:ascii="Arial" w:hAnsi="Arial" w:cs="Arial"/>
        </w:rPr>
      </w:pPr>
      <w:r w:rsidRPr="003B04A1">
        <w:rPr>
          <w:rFonts w:ascii="Arial" w:hAnsi="Arial" w:cs="Arial"/>
        </w:rPr>
        <w:lastRenderedPageBreak/>
        <w:t>8.0 Platform Scaling Strategies</w:t>
      </w:r>
    </w:p>
    <w:p w14:paraId="16D065ED"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Scaling the IMHOTEP platform involves expanding the capacity of specific subsystems rather than duplicating the entire platform instance. The components most likely to require scaling include the execution runtime, agent orchestration services, and model inference infrastructure.</w:t>
      </w:r>
    </w:p>
    <w:p w14:paraId="53E2F011"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Scaling strategies may include horizontal scaling of execution nodes, distributed task scheduling, and load-balanced model inference services.</w:t>
      </w:r>
    </w:p>
    <w:p w14:paraId="4420942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By scaling these subsystems independently, the platform can support increasing workloads without compromising architectural clarity.</w:t>
      </w:r>
    </w:p>
    <w:p w14:paraId="30E00C5C" w14:textId="77777777" w:rsidR="00423165" w:rsidRPr="003B04A1" w:rsidRDefault="00423165" w:rsidP="00423165">
      <w:pPr>
        <w:pStyle w:val="Heading2"/>
        <w:spacing w:before="120" w:after="120"/>
        <w:rPr>
          <w:rFonts w:ascii="Arial" w:hAnsi="Arial" w:cs="Arial"/>
        </w:rPr>
      </w:pPr>
      <w:r w:rsidRPr="003B04A1">
        <w:rPr>
          <w:rFonts w:ascii="Arial" w:hAnsi="Arial" w:cs="Arial"/>
        </w:rPr>
        <w:t>9.0 Multi-Project Operation</w:t>
      </w:r>
    </w:p>
    <w:p w14:paraId="1E46F2C0"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In enterprise environments the IMHOTEP platform may manage multiple construction pipelines simultaneously. Each project represents a separate specification, construction plan, artifact repository, and governance context.</w:t>
      </w:r>
    </w:p>
    <w:p w14:paraId="22DB749C"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platform must therefore support isolation between projects while allowing shared infrastructure components to operate efficiently. Project isolation ensures that the activities of one construction pipeline do not interfere with others.</w:t>
      </w:r>
    </w:p>
    <w:p w14:paraId="58155BBD"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This capability allows organizations to run many autonomous development workflows concurrently.</w:t>
      </w:r>
    </w:p>
    <w:p w14:paraId="466D3E0C" w14:textId="77777777" w:rsidR="00423165" w:rsidRPr="003B04A1" w:rsidRDefault="00423165" w:rsidP="00423165">
      <w:pPr>
        <w:pStyle w:val="Heading2"/>
        <w:spacing w:before="120" w:after="120"/>
        <w:rPr>
          <w:rFonts w:ascii="Arial" w:hAnsi="Arial" w:cs="Arial"/>
        </w:rPr>
      </w:pPr>
      <w:r w:rsidRPr="003B04A1">
        <w:rPr>
          <w:rFonts w:ascii="Arial" w:hAnsi="Arial" w:cs="Arial"/>
        </w:rPr>
        <w:t>10.0 Security and Access Control</w:t>
      </w:r>
    </w:p>
    <w:p w14:paraId="67F22AC6"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Enterprise deployments require strong security controls to protect sensitive data and ensure that only authorized individuals can interact with the platform.</w:t>
      </w:r>
    </w:p>
    <w:p w14:paraId="505FD4A8"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deployment model supports integration with organizational identity and access management systems. These systems regulate access to specifications, construction workflows, artifact repositories, and governance controls.</w:t>
      </w:r>
    </w:p>
    <w:p w14:paraId="076E0BFF"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Security mechanisms ensure that autonomous development processes operate within the organization's security framework.</w:t>
      </w:r>
    </w:p>
    <w:p w14:paraId="23CEFCBF" w14:textId="77777777" w:rsidR="00423165" w:rsidRPr="003B04A1" w:rsidRDefault="00423165" w:rsidP="00423165">
      <w:pPr>
        <w:pStyle w:val="Heading2"/>
        <w:spacing w:before="120" w:after="120"/>
        <w:rPr>
          <w:rFonts w:ascii="Arial" w:hAnsi="Arial" w:cs="Arial"/>
        </w:rPr>
      </w:pPr>
      <w:r w:rsidRPr="003B04A1">
        <w:rPr>
          <w:rFonts w:ascii="Arial" w:hAnsi="Arial" w:cs="Arial"/>
        </w:rPr>
        <w:t>11.0 Resilience and Fault Tolerance</w:t>
      </w:r>
    </w:p>
    <w:p w14:paraId="56C2ED53"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Large-scale deployments must account for potential infrastructure failures and operational disruptions. The IMHOTEP platform therefore supports resilience mechanisms that allow construction workflows to continue even when individual components fail.</w:t>
      </w:r>
    </w:p>
    <w:p w14:paraId="0F175D00"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Persistent state storage, distributed task execution, and runtime recovery mechanisms allow the platform to resume construction processes after interruptions.</w:t>
      </w:r>
    </w:p>
    <w:p w14:paraId="0E57864B"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Fault tolerance ensures that long-running autonomous development workflows remain reliable in complex operational environments.</w:t>
      </w:r>
    </w:p>
    <w:p w14:paraId="4EC7B50D" w14:textId="77777777" w:rsidR="00423165" w:rsidRPr="003B04A1" w:rsidRDefault="00423165" w:rsidP="00423165">
      <w:pPr>
        <w:pStyle w:val="Heading2"/>
        <w:spacing w:before="120" w:after="120"/>
        <w:rPr>
          <w:rFonts w:ascii="Arial" w:hAnsi="Arial" w:cs="Arial"/>
        </w:rPr>
      </w:pPr>
      <w:r w:rsidRPr="003B04A1">
        <w:rPr>
          <w:rFonts w:ascii="Arial" w:hAnsi="Arial" w:cs="Arial"/>
        </w:rPr>
        <w:lastRenderedPageBreak/>
        <w:t>12.0 Deployment Automation</w:t>
      </w:r>
    </w:p>
    <w:p w14:paraId="5E798A57"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IMHOTEP platform itself may be deployed and managed through automated infrastructure processes. Infrastructure definitions describing the platform's runtime environment may be maintained alongside the system specifications managed by the platform.</w:t>
      </w:r>
    </w:p>
    <w:p w14:paraId="77BD048B"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This approach allows organizations to deploy IMHOTEP consistently across different environments and maintain reproducible platform configurations.</w:t>
      </w:r>
    </w:p>
    <w:p w14:paraId="296439A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Deployment automation reduces operational complexity and improves reliability.</w:t>
      </w:r>
    </w:p>
    <w:p w14:paraId="050406D9" w14:textId="77777777" w:rsidR="00423165" w:rsidRPr="003B04A1" w:rsidRDefault="00423165" w:rsidP="00423165">
      <w:pPr>
        <w:pStyle w:val="Heading2"/>
        <w:spacing w:before="120" w:after="120"/>
        <w:rPr>
          <w:rFonts w:ascii="Arial" w:hAnsi="Arial" w:cs="Arial"/>
        </w:rPr>
      </w:pPr>
      <w:r w:rsidRPr="003B04A1">
        <w:rPr>
          <w:rFonts w:ascii="Arial" w:hAnsi="Arial" w:cs="Arial"/>
        </w:rPr>
        <w:t>13.0 Observability in Enterprise Environments</w:t>
      </w:r>
    </w:p>
    <w:p w14:paraId="06876424"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In large-scale deployments the observability mechanisms defined in ISL v2.6 become critical for monitoring system health and operational performance. Telemetry from platform components may be integrated with enterprise monitoring systems to provide real-time visibility into construction workflows and resource usage.</w:t>
      </w:r>
    </w:p>
    <w:p w14:paraId="13195A20"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Operational dashboards allow administrators to observe the activity of the platform across multiple projects and environments.</w:t>
      </w:r>
    </w:p>
    <w:p w14:paraId="4EA33512"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Observability ensures that large-scale deployments remain manageable and transparent.</w:t>
      </w:r>
    </w:p>
    <w:p w14:paraId="6637DD43" w14:textId="77777777" w:rsidR="00423165" w:rsidRPr="003B04A1" w:rsidRDefault="00423165" w:rsidP="00423165">
      <w:pPr>
        <w:pStyle w:val="Heading2"/>
        <w:spacing w:before="120" w:after="120"/>
        <w:rPr>
          <w:rFonts w:ascii="Arial" w:hAnsi="Arial" w:cs="Arial"/>
        </w:rPr>
      </w:pPr>
      <w:r w:rsidRPr="003B04A1">
        <w:rPr>
          <w:rFonts w:ascii="Arial" w:hAnsi="Arial" w:cs="Arial"/>
        </w:rPr>
        <w:t>14.0 Governance Across Deployment Environments</w:t>
      </w:r>
    </w:p>
    <w:p w14:paraId="0830387F"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Governance policies defined in ISL v1.7 apply consistently across all deployment environments. However, enterprise environments may introduce additional governance layers such as organizational approval workflows, regulatory compliance checks, and operational oversight mechanisms.</w:t>
      </w:r>
    </w:p>
    <w:p w14:paraId="3CF41BDB"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The deployment model ensures that governance controls remain enforceable regardless of the scale of the platform deployment.</w:t>
      </w:r>
    </w:p>
    <w:p w14:paraId="7BDD717A"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This alignment allows organizations to maintain consistent standards for autonomous development.</w:t>
      </w:r>
    </w:p>
    <w:p w14:paraId="79575C1D" w14:textId="77777777" w:rsidR="00423165" w:rsidRPr="003B04A1" w:rsidRDefault="00423165" w:rsidP="00423165">
      <w:pPr>
        <w:pStyle w:val="Heading2"/>
        <w:spacing w:before="120" w:after="120"/>
        <w:rPr>
          <w:rFonts w:ascii="Arial" w:hAnsi="Arial" w:cs="Arial"/>
        </w:rPr>
      </w:pPr>
      <w:r w:rsidRPr="003B04A1">
        <w:rPr>
          <w:rFonts w:ascii="Arial" w:hAnsi="Arial" w:cs="Arial"/>
        </w:rPr>
        <w:t>15.0 The Platform as a Scalable Construction System</w:t>
      </w:r>
    </w:p>
    <w:p w14:paraId="2775BC0C"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Within the architectural metaphor guiding the IMHOTEP project, the deployment and scaling model represents the expansion of the construction site from a small workshop to a vast coordinated infrastructure capable of supporting many simultaneous building projects.</w:t>
      </w:r>
    </w:p>
    <w:p w14:paraId="6ABBE768"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Whether operating on a single workstation or across a distributed cluster of machines, the platform maintains the same architectural principles and operational processes. The blueprint remains the same, the construction plan remains the same, and the governance framework remains intact.</w:t>
      </w:r>
    </w:p>
    <w:p w14:paraId="45A972D2" w14:textId="77777777" w:rsidR="00423165" w:rsidRPr="003B04A1" w:rsidRDefault="00423165" w:rsidP="00423165">
      <w:pPr>
        <w:pStyle w:val="NormalWeb"/>
        <w:spacing w:before="120" w:beforeAutospacing="0" w:after="120" w:afterAutospacing="0"/>
        <w:rPr>
          <w:rFonts w:ascii="Arial" w:hAnsi="Arial" w:cs="Arial"/>
        </w:rPr>
      </w:pPr>
      <w:r w:rsidRPr="003B04A1">
        <w:rPr>
          <w:rFonts w:ascii="Arial" w:hAnsi="Arial" w:cs="Arial"/>
        </w:rPr>
        <w:t>By supporting flexible deployment strategies and scalable infrastructure, IMHOTEP ensures that autonomous software construction can operate effectively across the full spectrum of organizational environments.</w:t>
      </w:r>
    </w:p>
    <w:p w14:paraId="449468A1"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E2BF6"/>
    <w:multiLevelType w:val="multilevel"/>
    <w:tmpl w:val="5C4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49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165"/>
    <w:rsid w:val="00223A5B"/>
    <w:rsid w:val="00423165"/>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81D73A"/>
  <w15:chartTrackingRefBased/>
  <w15:docId w15:val="{5F1A3945-5BB9-E546-96C1-2A57AB382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3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3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165"/>
    <w:rPr>
      <w:rFonts w:eastAsiaTheme="majorEastAsia" w:cstheme="majorBidi"/>
      <w:color w:val="272727" w:themeColor="text1" w:themeTint="D8"/>
    </w:rPr>
  </w:style>
  <w:style w:type="paragraph" w:styleId="Title">
    <w:name w:val="Title"/>
    <w:basedOn w:val="Normal"/>
    <w:next w:val="Normal"/>
    <w:link w:val="TitleChar"/>
    <w:uiPriority w:val="10"/>
    <w:qFormat/>
    <w:rsid w:val="00423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165"/>
    <w:pPr>
      <w:spacing w:before="160"/>
      <w:jc w:val="center"/>
    </w:pPr>
    <w:rPr>
      <w:i/>
      <w:iCs/>
      <w:color w:val="404040" w:themeColor="text1" w:themeTint="BF"/>
    </w:rPr>
  </w:style>
  <w:style w:type="character" w:customStyle="1" w:styleId="QuoteChar">
    <w:name w:val="Quote Char"/>
    <w:basedOn w:val="DefaultParagraphFont"/>
    <w:link w:val="Quote"/>
    <w:uiPriority w:val="29"/>
    <w:rsid w:val="00423165"/>
    <w:rPr>
      <w:i/>
      <w:iCs/>
      <w:color w:val="404040" w:themeColor="text1" w:themeTint="BF"/>
    </w:rPr>
  </w:style>
  <w:style w:type="paragraph" w:styleId="ListParagraph">
    <w:name w:val="List Paragraph"/>
    <w:basedOn w:val="Normal"/>
    <w:uiPriority w:val="34"/>
    <w:qFormat/>
    <w:rsid w:val="00423165"/>
    <w:pPr>
      <w:ind w:left="720"/>
      <w:contextualSpacing/>
    </w:pPr>
  </w:style>
  <w:style w:type="character" w:styleId="IntenseEmphasis">
    <w:name w:val="Intense Emphasis"/>
    <w:basedOn w:val="DefaultParagraphFont"/>
    <w:uiPriority w:val="21"/>
    <w:qFormat/>
    <w:rsid w:val="00423165"/>
    <w:rPr>
      <w:i/>
      <w:iCs/>
      <w:color w:val="0F4761" w:themeColor="accent1" w:themeShade="BF"/>
    </w:rPr>
  </w:style>
  <w:style w:type="paragraph" w:styleId="IntenseQuote">
    <w:name w:val="Intense Quote"/>
    <w:basedOn w:val="Normal"/>
    <w:next w:val="Normal"/>
    <w:link w:val="IntenseQuoteChar"/>
    <w:uiPriority w:val="30"/>
    <w:qFormat/>
    <w:rsid w:val="00423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165"/>
    <w:rPr>
      <w:i/>
      <w:iCs/>
      <w:color w:val="0F4761" w:themeColor="accent1" w:themeShade="BF"/>
    </w:rPr>
  </w:style>
  <w:style w:type="character" w:styleId="IntenseReference">
    <w:name w:val="Intense Reference"/>
    <w:basedOn w:val="DefaultParagraphFont"/>
    <w:uiPriority w:val="32"/>
    <w:qFormat/>
    <w:rsid w:val="00423165"/>
    <w:rPr>
      <w:b/>
      <w:bCs/>
      <w:smallCaps/>
      <w:color w:val="0F4761" w:themeColor="accent1" w:themeShade="BF"/>
      <w:spacing w:val="5"/>
    </w:rPr>
  </w:style>
  <w:style w:type="paragraph" w:styleId="NormalWeb">
    <w:name w:val="Normal (Web)"/>
    <w:basedOn w:val="Normal"/>
    <w:uiPriority w:val="99"/>
    <w:semiHidden/>
    <w:unhideWhenUsed/>
    <w:rsid w:val="0042316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1403</Words>
  <Characters>7998</Characters>
  <Application>Microsoft Office Word</Application>
  <DocSecurity>0</DocSecurity>
  <Lines>66</Lines>
  <Paragraphs>18</Paragraphs>
  <ScaleCrop>false</ScaleCrop>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2026-03-18T19:37:00Z</dcterms:created>
  <dcterms:modified xsi:type="dcterms:W3CDTF">2026-03-18T19:38:00Z</dcterms:modified>
</cp:coreProperties>
</file>