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035E" w14:textId="77777777" w:rsidR="005A1FC9" w:rsidRPr="008E1E20" w:rsidRDefault="005A1FC9" w:rsidP="005A1FC9">
      <w:pPr>
        <w:pStyle w:val="Title"/>
        <w:rPr>
          <w:sz w:val="44"/>
          <w:szCs w:val="44"/>
        </w:rPr>
      </w:pPr>
      <w:r w:rsidRPr="008E1E20">
        <w:rPr>
          <w:sz w:val="44"/>
          <w:szCs w:val="44"/>
        </w:rPr>
        <w:t>IMHOTEP Specification Language (ISL) v3.0</w:t>
      </w:r>
    </w:p>
    <w:p w14:paraId="6AF60EED" w14:textId="77777777" w:rsidR="005A1FC9" w:rsidRPr="00AD0A36" w:rsidRDefault="005A1FC9" w:rsidP="005A1FC9">
      <w:pPr>
        <w:pStyle w:val="Heading1"/>
        <w:spacing w:before="0" w:after="120"/>
        <w:rPr>
          <w:rFonts w:ascii="Arial" w:hAnsi="Arial" w:cs="Arial"/>
        </w:rPr>
      </w:pPr>
      <w:r w:rsidRPr="00AD0A36">
        <w:rPr>
          <w:rFonts w:ascii="Arial" w:hAnsi="Arial" w:cs="Arial"/>
        </w:rPr>
        <w:t>ISL v3.0 The Reference Implementation Architecture</w:t>
      </w:r>
    </w:p>
    <w:p w14:paraId="7CA79BDF" w14:textId="77777777" w:rsidR="005A1FC9" w:rsidRPr="00AD0A36" w:rsidRDefault="005A1FC9" w:rsidP="005A1FC9">
      <w:pPr>
        <w:pStyle w:val="Heading2"/>
        <w:spacing w:before="0" w:after="120"/>
        <w:rPr>
          <w:rFonts w:ascii="Arial" w:hAnsi="Arial" w:cs="Arial"/>
        </w:rPr>
      </w:pPr>
      <w:r w:rsidRPr="00AD0A36">
        <w:rPr>
          <w:rFonts w:ascii="Arial" w:hAnsi="Arial" w:cs="Arial"/>
        </w:rPr>
        <w:t>1.0 Purpose of the Reference Implementation</w:t>
      </w:r>
    </w:p>
    <w:p w14:paraId="4513AAE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Architecture defines a practical blueprint for building the IMHOTEP platform in a real software environment. While earlier sections describe the conceptual architecture and operational models of the system, this section translates those models into a concrete implementation structure that can be used to guide development.</w:t>
      </w:r>
    </w:p>
    <w:p w14:paraId="1E913C1D"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purpose of the reference implementation is not to impose a single rigid technology stack but to demonstrate a coherent and practical way to realize the IMHOTEP architecture. The reference implementation provides a baseline platform design that can be extended or adapted by organizations adopting the system.</w:t>
      </w:r>
    </w:p>
    <w:p w14:paraId="44BBDB3C"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section establishes how the platform subsystems described in ISL v2.x can be implemented as interoperable software components.</w:t>
      </w:r>
    </w:p>
    <w:p w14:paraId="75D65733" w14:textId="77777777" w:rsidR="005A1FC9" w:rsidRPr="00AD0A36" w:rsidRDefault="005A1FC9" w:rsidP="005A1FC9">
      <w:pPr>
        <w:pStyle w:val="Heading2"/>
        <w:spacing w:before="0" w:after="120"/>
        <w:rPr>
          <w:rFonts w:ascii="Arial" w:hAnsi="Arial" w:cs="Arial"/>
        </w:rPr>
      </w:pPr>
      <w:r w:rsidRPr="00AD0A36">
        <w:rPr>
          <w:rFonts w:ascii="Arial" w:hAnsi="Arial" w:cs="Arial"/>
        </w:rPr>
        <w:t>2.0 Implementation Philosophy</w:t>
      </w:r>
    </w:p>
    <w:p w14:paraId="3ADC278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follows several principles intended to ensure the longevity, adaptability, and maintainability of the IMHOTEP platform.</w:t>
      </w:r>
    </w:p>
    <w:p w14:paraId="2AE54461"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First, the system is designed as a </w:t>
      </w:r>
      <w:r w:rsidRPr="00AD0A36">
        <w:rPr>
          <w:rStyle w:val="Strong"/>
          <w:rFonts w:ascii="Arial" w:hAnsi="Arial" w:cs="Arial"/>
        </w:rPr>
        <w:t>modular service architecture</w:t>
      </w:r>
      <w:r w:rsidRPr="00AD0A36">
        <w:rPr>
          <w:rFonts w:ascii="Arial" w:hAnsi="Arial" w:cs="Arial"/>
        </w:rPr>
        <w:t xml:space="preserve"> in which each major subsystem operates as a clearly defined component with explicit interfaces. This modular approach allows the platform to evolve over time without requiring large-scale redesign.</w:t>
      </w:r>
    </w:p>
    <w:p w14:paraId="387D0B0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Second, the implementation is </w:t>
      </w:r>
      <w:r w:rsidRPr="00AD0A36">
        <w:rPr>
          <w:rStyle w:val="Strong"/>
          <w:rFonts w:ascii="Arial" w:hAnsi="Arial" w:cs="Arial"/>
        </w:rPr>
        <w:t>local-first</w:t>
      </w:r>
      <w:r w:rsidRPr="00AD0A36">
        <w:rPr>
          <w:rFonts w:ascii="Arial" w:hAnsi="Arial" w:cs="Arial"/>
        </w:rPr>
        <w:t>, meaning that the entire platform must be capable of running on a single machine using locally hosted models and development tools. This ensures that organizations can operate the system independently of external services.</w:t>
      </w:r>
    </w:p>
    <w:p w14:paraId="301C60C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Third, the platform must remain </w:t>
      </w:r>
      <w:proofErr w:type="gramStart"/>
      <w:r w:rsidRPr="00AD0A36">
        <w:rPr>
          <w:rStyle w:val="Strong"/>
          <w:rFonts w:ascii="Arial" w:hAnsi="Arial" w:cs="Arial"/>
        </w:rPr>
        <w:t>cloud-portable</w:t>
      </w:r>
      <w:proofErr w:type="gramEnd"/>
      <w:r w:rsidRPr="00AD0A36">
        <w:rPr>
          <w:rFonts w:ascii="Arial" w:hAnsi="Arial" w:cs="Arial"/>
        </w:rPr>
        <w:t>. All infrastructure dependencies should be abstracted so that the same system can be deployed in local environments, enterprise datacenters, or cloud platforms without significant modification.</w:t>
      </w:r>
    </w:p>
    <w:p w14:paraId="4BB8D72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Finally, the implementation must maintain strict alignment with the specification, traceability, and governance models defined earlier in the IMHOTEP architecture.</w:t>
      </w:r>
    </w:p>
    <w:p w14:paraId="0D23DE59" w14:textId="77777777" w:rsidR="005A1FC9" w:rsidRPr="00AD0A36" w:rsidRDefault="005A1FC9" w:rsidP="005A1FC9">
      <w:pPr>
        <w:pStyle w:val="Heading2"/>
        <w:spacing w:before="0" w:after="120"/>
        <w:rPr>
          <w:rFonts w:ascii="Arial" w:hAnsi="Arial" w:cs="Arial"/>
        </w:rPr>
      </w:pPr>
      <w:r w:rsidRPr="00AD0A36">
        <w:rPr>
          <w:rFonts w:ascii="Arial" w:hAnsi="Arial" w:cs="Arial"/>
        </w:rPr>
        <w:t>3.0 Core Technology Stack</w:t>
      </w:r>
    </w:p>
    <w:p w14:paraId="3415BF9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proposes a technology stack that aligns with the architectural principles of the IMHOTEP platform while supporting rapid development and strong ecosystem integration.</w:t>
      </w:r>
    </w:p>
    <w:p w14:paraId="4164EE95"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primary technologies of the reference stack include:</w:t>
      </w:r>
    </w:p>
    <w:p w14:paraId="5821B054"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the .NET runtime environment</w:t>
      </w:r>
    </w:p>
    <w:p w14:paraId="1F767D6E"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the C# programming language</w:t>
      </w:r>
    </w:p>
    <w:p w14:paraId="1FB6A28E"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lastRenderedPageBreak/>
        <w:t>Microsoft Semantic Kernel for agent orchestration</w:t>
      </w:r>
    </w:p>
    <w:p w14:paraId="3C86E0E7"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Git-based artifact repositories</w:t>
      </w:r>
    </w:p>
    <w:p w14:paraId="1D6EC40E" w14:textId="77777777" w:rsidR="005A1FC9" w:rsidRPr="00AD0A36" w:rsidRDefault="005A1FC9" w:rsidP="005A1FC9">
      <w:pPr>
        <w:pStyle w:val="NormalWeb"/>
        <w:numPr>
          <w:ilvl w:val="0"/>
          <w:numId w:val="1"/>
        </w:numPr>
        <w:spacing w:before="0" w:beforeAutospacing="0" w:after="0" w:afterAutospacing="0"/>
        <w:rPr>
          <w:rFonts w:ascii="Arial" w:hAnsi="Arial" w:cs="Arial"/>
        </w:rPr>
      </w:pPr>
      <w:r w:rsidRPr="00AD0A36">
        <w:rPr>
          <w:rFonts w:ascii="Arial" w:hAnsi="Arial" w:cs="Arial"/>
        </w:rPr>
        <w:t>structured document formats such as Markdown and JSON for specifications</w:t>
      </w:r>
    </w:p>
    <w:p w14:paraId="3D640129" w14:textId="77777777" w:rsidR="005A1FC9" w:rsidRPr="00AD0A36" w:rsidRDefault="005A1FC9" w:rsidP="005A1FC9">
      <w:pPr>
        <w:pStyle w:val="NormalWeb"/>
        <w:numPr>
          <w:ilvl w:val="0"/>
          <w:numId w:val="1"/>
        </w:numPr>
        <w:spacing w:before="0" w:beforeAutospacing="0" w:after="120" w:afterAutospacing="0"/>
        <w:rPr>
          <w:rFonts w:ascii="Arial" w:hAnsi="Arial" w:cs="Arial"/>
        </w:rPr>
      </w:pPr>
      <w:r w:rsidRPr="00AD0A36">
        <w:rPr>
          <w:rFonts w:ascii="Arial" w:hAnsi="Arial" w:cs="Arial"/>
        </w:rPr>
        <w:t>container-based deployment environments for runtime services</w:t>
      </w:r>
    </w:p>
    <w:p w14:paraId="408D64F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stack provides a mature development ecosystem while remaining flexible enough to support future evolution.</w:t>
      </w:r>
    </w:p>
    <w:p w14:paraId="0B669D11" w14:textId="77777777" w:rsidR="005A1FC9" w:rsidRPr="00AD0A36" w:rsidRDefault="005A1FC9" w:rsidP="005A1FC9">
      <w:pPr>
        <w:pStyle w:val="Heading2"/>
        <w:spacing w:before="0" w:after="120"/>
        <w:rPr>
          <w:rFonts w:ascii="Arial" w:hAnsi="Arial" w:cs="Arial"/>
        </w:rPr>
      </w:pPr>
      <w:r w:rsidRPr="00AD0A36">
        <w:rPr>
          <w:rFonts w:ascii="Arial" w:hAnsi="Arial" w:cs="Arial"/>
        </w:rPr>
        <w:t>4.0 Platform Component Structure</w:t>
      </w:r>
    </w:p>
    <w:p w14:paraId="7AA44008"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In the reference implementation the IMHOTEP platform is organized as a set of services and libraries that correspond to the architectural subsystems defined earlier.</w:t>
      </w:r>
    </w:p>
    <w:p w14:paraId="0A396F3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major components of the system include:</w:t>
      </w:r>
    </w:p>
    <w:p w14:paraId="586C51A4"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Specification Processing Service</w:t>
      </w:r>
    </w:p>
    <w:p w14:paraId="4E84F76A"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Semantic Model Service</w:t>
      </w:r>
    </w:p>
    <w:p w14:paraId="5E147A7E"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Planning Engine</w:t>
      </w:r>
    </w:p>
    <w:p w14:paraId="52AC1D92"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Agent Orchestration Engine</w:t>
      </w:r>
    </w:p>
    <w:p w14:paraId="2FF75629"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Construction Execution Runtime</w:t>
      </w:r>
    </w:p>
    <w:p w14:paraId="3EB140DB"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Tool Integration Service</w:t>
      </w:r>
    </w:p>
    <w:p w14:paraId="3111E2DB"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Traceability and State Service</w:t>
      </w:r>
    </w:p>
    <w:p w14:paraId="1638C879"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Governance Service</w:t>
      </w:r>
    </w:p>
    <w:p w14:paraId="1B6F866D" w14:textId="77777777" w:rsidR="005A1FC9" w:rsidRPr="00AD0A36" w:rsidRDefault="005A1FC9" w:rsidP="005A1FC9">
      <w:pPr>
        <w:pStyle w:val="NormalWeb"/>
        <w:numPr>
          <w:ilvl w:val="0"/>
          <w:numId w:val="2"/>
        </w:numPr>
        <w:spacing w:before="0" w:beforeAutospacing="0" w:after="0" w:afterAutospacing="0"/>
        <w:rPr>
          <w:rFonts w:ascii="Arial" w:hAnsi="Arial" w:cs="Arial"/>
        </w:rPr>
      </w:pPr>
      <w:r w:rsidRPr="00AD0A36">
        <w:rPr>
          <w:rFonts w:ascii="Arial" w:hAnsi="Arial" w:cs="Arial"/>
        </w:rPr>
        <w:t>the Observability and Telemetry Service</w:t>
      </w:r>
    </w:p>
    <w:p w14:paraId="2084CD7B" w14:textId="77777777" w:rsidR="005A1FC9" w:rsidRPr="00AD0A36" w:rsidRDefault="005A1FC9" w:rsidP="005A1FC9">
      <w:pPr>
        <w:pStyle w:val="NormalWeb"/>
        <w:numPr>
          <w:ilvl w:val="0"/>
          <w:numId w:val="2"/>
        </w:numPr>
        <w:spacing w:before="0" w:beforeAutospacing="0" w:after="120" w:afterAutospacing="0"/>
        <w:rPr>
          <w:rFonts w:ascii="Arial" w:hAnsi="Arial" w:cs="Arial"/>
        </w:rPr>
      </w:pPr>
      <w:r w:rsidRPr="00AD0A36">
        <w:rPr>
          <w:rFonts w:ascii="Arial" w:hAnsi="Arial" w:cs="Arial"/>
        </w:rPr>
        <w:t>the Artifact Repository Interface</w:t>
      </w:r>
    </w:p>
    <w:p w14:paraId="21CB9EE8"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Each of these services corresponds to one or more architectural subsystems defined in ISL v2.x.</w:t>
      </w:r>
    </w:p>
    <w:p w14:paraId="1B9BFF1A" w14:textId="77777777" w:rsidR="005A1FC9" w:rsidRPr="00AD0A36" w:rsidRDefault="005A1FC9" w:rsidP="005A1FC9">
      <w:pPr>
        <w:pStyle w:val="Heading2"/>
        <w:spacing w:before="0" w:after="120"/>
        <w:rPr>
          <w:rFonts w:ascii="Arial" w:hAnsi="Arial" w:cs="Arial"/>
        </w:rPr>
      </w:pPr>
      <w:r w:rsidRPr="00AD0A36">
        <w:rPr>
          <w:rFonts w:ascii="Arial" w:hAnsi="Arial" w:cs="Arial"/>
        </w:rPr>
        <w:t>5.0 Specification Processing Service</w:t>
      </w:r>
    </w:p>
    <w:p w14:paraId="4A96539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Specification Processing Service is responsible for receiving, parsing, validating, and managing system specifications written using the IMHOTEP Specification Language.</w:t>
      </w:r>
    </w:p>
    <w:p w14:paraId="0411F58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converts human-authored documents into the canonical semantic model defined in ISL v1.1. It also determines the readiness level of the specification according to the readiness framework defined in ISL v1.3.</w:t>
      </w:r>
    </w:p>
    <w:p w14:paraId="40058A9F"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Within the reference implementation this service may be implemented as a .NET library responsible for specification parsing and semantic validation.</w:t>
      </w:r>
    </w:p>
    <w:p w14:paraId="2FA3C749" w14:textId="77777777" w:rsidR="005A1FC9" w:rsidRPr="00AD0A36" w:rsidRDefault="005A1FC9" w:rsidP="005A1FC9">
      <w:pPr>
        <w:pStyle w:val="Heading2"/>
        <w:spacing w:before="0" w:after="120"/>
        <w:rPr>
          <w:rFonts w:ascii="Arial" w:hAnsi="Arial" w:cs="Arial"/>
        </w:rPr>
      </w:pPr>
      <w:r w:rsidRPr="00AD0A36">
        <w:rPr>
          <w:rFonts w:ascii="Arial" w:hAnsi="Arial" w:cs="Arial"/>
        </w:rPr>
        <w:t>6.0 Semantic Model Service</w:t>
      </w:r>
    </w:p>
    <w:p w14:paraId="392106F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Semantic Model Service manages the canonical representation of the system specification. It stores the normalized specification graph and provides structured access to specification entities such as requirements, capabilities, services, workflows, and policies.</w:t>
      </w:r>
    </w:p>
    <w:p w14:paraId="431554ED"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acts as the central knowledge base of the platform and provides query interfaces used by the planning engine, agent orchestration system, and traceability model.</w:t>
      </w:r>
    </w:p>
    <w:p w14:paraId="2467D31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lastRenderedPageBreak/>
        <w:t>The semantic model may be implemented using graph-oriented data structures or document-based storage depending on the needs of the implementation.</w:t>
      </w:r>
    </w:p>
    <w:p w14:paraId="3E1A5F77" w14:textId="77777777" w:rsidR="005A1FC9" w:rsidRPr="00AD0A36" w:rsidRDefault="005A1FC9" w:rsidP="005A1FC9">
      <w:pPr>
        <w:pStyle w:val="Heading2"/>
        <w:spacing w:before="0" w:after="120"/>
        <w:rPr>
          <w:rFonts w:ascii="Arial" w:hAnsi="Arial" w:cs="Arial"/>
        </w:rPr>
      </w:pPr>
      <w:r w:rsidRPr="00AD0A36">
        <w:rPr>
          <w:rFonts w:ascii="Arial" w:hAnsi="Arial" w:cs="Arial"/>
        </w:rPr>
        <w:t>7.0 Planning Engine Implementation</w:t>
      </w:r>
    </w:p>
    <w:p w14:paraId="14CD3BF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Planning Engine transforms the canonical semantic model into a construction task graph. In the reference implementation this engine operates as a service responsible for analyzing specification entities and generating structured task definitions.</w:t>
      </w:r>
    </w:p>
    <w:p w14:paraId="20821D2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engine resolves dependencies between tasks, identifies opportunities for parallel execution, and produces the initial task graph that will guide the construction runtime.</w:t>
      </w:r>
    </w:p>
    <w:p w14:paraId="3AA4C09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component represents the automated project planner within the platform.</w:t>
      </w:r>
    </w:p>
    <w:p w14:paraId="5D7CA0B7" w14:textId="77777777" w:rsidR="005A1FC9" w:rsidRPr="00AD0A36" w:rsidRDefault="005A1FC9" w:rsidP="005A1FC9">
      <w:pPr>
        <w:pStyle w:val="Heading2"/>
        <w:spacing w:before="0" w:after="120"/>
        <w:rPr>
          <w:rFonts w:ascii="Arial" w:hAnsi="Arial" w:cs="Arial"/>
        </w:rPr>
      </w:pPr>
      <w:r w:rsidRPr="00AD0A36">
        <w:rPr>
          <w:rFonts w:ascii="Arial" w:hAnsi="Arial" w:cs="Arial"/>
        </w:rPr>
        <w:t>8.0 Agent Orchestration Engine</w:t>
      </w:r>
    </w:p>
    <w:p w14:paraId="112E7A1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Agent Orchestration Engine coordinates the reasoning agents defined in the Agent Collaboration Model. In the reference implementation this component may be built on top of the Semantic Kernel framework, which provides mechanisms for orchestrating structured interactions between reasoning components and AI models.</w:t>
      </w:r>
    </w:p>
    <w:p w14:paraId="3F0F0752"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orchestrator manages agent roles, coordinates task assignments, and handles structured communication between agents. It also integrates with the model abstraction layer to select appropriate AI models for each reasoning task.</w:t>
      </w:r>
    </w:p>
    <w:p w14:paraId="3E98A06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engine represents the collaborative intelligence layer of the platform.</w:t>
      </w:r>
    </w:p>
    <w:p w14:paraId="004E00BC" w14:textId="77777777" w:rsidR="005A1FC9" w:rsidRPr="00AD0A36" w:rsidRDefault="005A1FC9" w:rsidP="005A1FC9">
      <w:pPr>
        <w:pStyle w:val="Heading2"/>
        <w:spacing w:before="0" w:after="120"/>
        <w:rPr>
          <w:rFonts w:ascii="Arial" w:hAnsi="Arial" w:cs="Arial"/>
        </w:rPr>
      </w:pPr>
      <w:r w:rsidRPr="00AD0A36">
        <w:rPr>
          <w:rFonts w:ascii="Arial" w:hAnsi="Arial" w:cs="Arial"/>
        </w:rPr>
        <w:t>9.0 Construction Execution Runtime</w:t>
      </w:r>
    </w:p>
    <w:p w14:paraId="4B7EEF0F"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Construction Execution Runtime implements the operational workflow defined in ISL v2.4. This component is responsible for executing tasks from the task graph, invoking agents and tools, managing validation cycles, and coordinating repair processes.</w:t>
      </w:r>
    </w:p>
    <w:p w14:paraId="5FA5E638"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runtime includes a task scheduler, task execution pipeline, and integration with deterministic engineering tools.</w:t>
      </w:r>
    </w:p>
    <w:p w14:paraId="7A7DDD6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Within the reference implementation the runtime may operate as a background service capable of executing long-running workflows.</w:t>
      </w:r>
    </w:p>
    <w:p w14:paraId="49A41B00" w14:textId="77777777" w:rsidR="005A1FC9" w:rsidRPr="00AD0A36" w:rsidRDefault="005A1FC9" w:rsidP="005A1FC9">
      <w:pPr>
        <w:pStyle w:val="Heading2"/>
        <w:spacing w:before="0" w:after="120"/>
        <w:rPr>
          <w:rFonts w:ascii="Arial" w:hAnsi="Arial" w:cs="Arial"/>
        </w:rPr>
      </w:pPr>
      <w:r w:rsidRPr="00AD0A36">
        <w:rPr>
          <w:rFonts w:ascii="Arial" w:hAnsi="Arial" w:cs="Arial"/>
        </w:rPr>
        <w:t>10.0 Tool Integration Service</w:t>
      </w:r>
    </w:p>
    <w:p w14:paraId="37ACB3A1"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Tool Integration Service provides adapters for interacting with external engineering tools. These adapters translate platform requests into the commands required by compilers, testing frameworks, infrastructure managers, and other deterministic systems.</w:t>
      </w:r>
    </w:p>
    <w:p w14:paraId="7773FF2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Each adapter implements the standardized tool interface defined in ISL v1.6, allowing the runtime to interact with different toolchains without modifying the core architecture.</w:t>
      </w:r>
    </w:p>
    <w:p w14:paraId="381068F0"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ensures that generated artifacts are validated using established engineering practices.</w:t>
      </w:r>
    </w:p>
    <w:p w14:paraId="68969D12" w14:textId="77777777" w:rsidR="005A1FC9" w:rsidRPr="00AD0A36" w:rsidRDefault="005A1FC9" w:rsidP="005A1FC9">
      <w:pPr>
        <w:pStyle w:val="Heading2"/>
        <w:spacing w:before="0" w:after="120"/>
        <w:rPr>
          <w:rFonts w:ascii="Arial" w:hAnsi="Arial" w:cs="Arial"/>
        </w:rPr>
      </w:pPr>
      <w:r w:rsidRPr="00AD0A36">
        <w:rPr>
          <w:rFonts w:ascii="Arial" w:hAnsi="Arial" w:cs="Arial"/>
        </w:rPr>
        <w:lastRenderedPageBreak/>
        <w:t>11.0 Traceability and State Service</w:t>
      </w:r>
    </w:p>
    <w:p w14:paraId="7514AC3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Traceability and State Service implements the memory and traceability models defined in ISL v1.4 and ISL v2.2. This service records the relationships between specifications, tasks, artifacts, and validation events.</w:t>
      </w:r>
    </w:p>
    <w:p w14:paraId="3520347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It also maintains the operational state of the platform so that construction workflows can resume after interruptions.</w:t>
      </w:r>
    </w:p>
    <w:p w14:paraId="2F899BC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Persistent storage systems may be used to store this information in a durable and </w:t>
      </w:r>
      <w:proofErr w:type="spellStart"/>
      <w:r w:rsidRPr="00AD0A36">
        <w:rPr>
          <w:rFonts w:ascii="Arial" w:hAnsi="Arial" w:cs="Arial"/>
        </w:rPr>
        <w:t>queryable</w:t>
      </w:r>
      <w:proofErr w:type="spellEnd"/>
      <w:r w:rsidRPr="00AD0A36">
        <w:rPr>
          <w:rFonts w:ascii="Arial" w:hAnsi="Arial" w:cs="Arial"/>
        </w:rPr>
        <w:t xml:space="preserve"> form.</w:t>
      </w:r>
    </w:p>
    <w:p w14:paraId="4D295C35" w14:textId="77777777" w:rsidR="005A1FC9" w:rsidRPr="00AD0A36" w:rsidRDefault="005A1FC9" w:rsidP="005A1FC9">
      <w:pPr>
        <w:pStyle w:val="Heading2"/>
        <w:spacing w:before="0" w:after="120"/>
        <w:rPr>
          <w:rFonts w:ascii="Arial" w:hAnsi="Arial" w:cs="Arial"/>
        </w:rPr>
      </w:pPr>
      <w:r w:rsidRPr="00AD0A36">
        <w:rPr>
          <w:rFonts w:ascii="Arial" w:hAnsi="Arial" w:cs="Arial"/>
        </w:rPr>
        <w:t>12.0 Governance Service</w:t>
      </w:r>
    </w:p>
    <w:p w14:paraId="46C34B5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Governance Service enforces the policy and approval mechanisms defined in ISL v1.7. It evaluates construction activities against organizational policies and determines whether certain actions require approval.</w:t>
      </w:r>
    </w:p>
    <w:p w14:paraId="4D2D827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service also records governance events for auditing and compliance purposes.</w:t>
      </w:r>
    </w:p>
    <w:p w14:paraId="65F33532"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By isolating governance logic within a dedicated component, the platform ensures that policy enforcement remains consistent and transparent.</w:t>
      </w:r>
    </w:p>
    <w:p w14:paraId="3E4CA5D1" w14:textId="77777777" w:rsidR="005A1FC9" w:rsidRPr="00AD0A36" w:rsidRDefault="005A1FC9" w:rsidP="005A1FC9">
      <w:pPr>
        <w:pStyle w:val="Heading2"/>
        <w:spacing w:before="0" w:after="120"/>
        <w:rPr>
          <w:rFonts w:ascii="Arial" w:hAnsi="Arial" w:cs="Arial"/>
        </w:rPr>
      </w:pPr>
      <w:r w:rsidRPr="00AD0A36">
        <w:rPr>
          <w:rFonts w:ascii="Arial" w:hAnsi="Arial" w:cs="Arial"/>
        </w:rPr>
        <w:t>13.0 Observability and Telemetry Service</w:t>
      </w:r>
    </w:p>
    <w:p w14:paraId="1D8216EC"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The Observability and Telemetry Service </w:t>
      </w:r>
      <w:proofErr w:type="gramStart"/>
      <w:r w:rsidRPr="00AD0A36">
        <w:rPr>
          <w:rFonts w:ascii="Arial" w:hAnsi="Arial" w:cs="Arial"/>
        </w:rPr>
        <w:t>implements</w:t>
      </w:r>
      <w:proofErr w:type="gramEnd"/>
      <w:r w:rsidRPr="00AD0A36">
        <w:rPr>
          <w:rFonts w:ascii="Arial" w:hAnsi="Arial" w:cs="Arial"/>
        </w:rPr>
        <w:t xml:space="preserve"> the telemetry framework defined in ISL v2.6. It collects metrics, event logs, and operational data from all platform components.</w:t>
      </w:r>
    </w:p>
    <w:p w14:paraId="22B626F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information may be integrated with monitoring systems or presented through operational dashboards that allow administrators to observe the behavior of the platform in real time.</w:t>
      </w:r>
    </w:p>
    <w:p w14:paraId="4101934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Observability ensures that the autonomous construction process remains transparent and manageable.</w:t>
      </w:r>
    </w:p>
    <w:p w14:paraId="747C7B9C" w14:textId="77777777" w:rsidR="005A1FC9" w:rsidRPr="00AD0A36" w:rsidRDefault="005A1FC9" w:rsidP="005A1FC9">
      <w:pPr>
        <w:pStyle w:val="Heading2"/>
        <w:spacing w:before="0" w:after="120"/>
        <w:rPr>
          <w:rFonts w:ascii="Arial" w:hAnsi="Arial" w:cs="Arial"/>
        </w:rPr>
      </w:pPr>
      <w:r w:rsidRPr="00AD0A36">
        <w:rPr>
          <w:rFonts w:ascii="Arial" w:hAnsi="Arial" w:cs="Arial"/>
        </w:rPr>
        <w:t>14.0 Artifact Repository Interface</w:t>
      </w:r>
    </w:p>
    <w:p w14:paraId="669F07EE"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Artifact Repository Interface connects the platform to version-controlled storage systems that maintain the artifacts produced during construction.</w:t>
      </w:r>
    </w:p>
    <w:p w14:paraId="7E0023D4"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In the reference implementation this interface may integrate with Git-based repositories where generated code, configuration files, infrastructure definitions, and documentation are stored.</w:t>
      </w:r>
    </w:p>
    <w:p w14:paraId="666B6B35"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repository interface ensures that generated artifacts remain accessible to both the platform and human engineers.</w:t>
      </w:r>
    </w:p>
    <w:p w14:paraId="41FCBF5F" w14:textId="77777777" w:rsidR="005A1FC9" w:rsidRPr="00AD0A36" w:rsidRDefault="005A1FC9" w:rsidP="005A1FC9">
      <w:pPr>
        <w:pStyle w:val="Heading2"/>
        <w:spacing w:before="0" w:after="120"/>
        <w:rPr>
          <w:rFonts w:ascii="Arial" w:hAnsi="Arial" w:cs="Arial"/>
        </w:rPr>
      </w:pPr>
      <w:r w:rsidRPr="00AD0A36">
        <w:rPr>
          <w:rFonts w:ascii="Arial" w:hAnsi="Arial" w:cs="Arial"/>
        </w:rPr>
        <w:t>15.0 Deployment of the Reference Platform</w:t>
      </w:r>
    </w:p>
    <w:p w14:paraId="184687A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 xml:space="preserve">The reference implementation can be deployed as a set of coordinated services running within a local environment or distributed infrastructure. In a minimal deployment, all </w:t>
      </w:r>
      <w:r w:rsidRPr="00AD0A36">
        <w:rPr>
          <w:rFonts w:ascii="Arial" w:hAnsi="Arial" w:cs="Arial"/>
        </w:rPr>
        <w:lastRenderedPageBreak/>
        <w:t>services may run within a single process or container. Larger deployments may distribute services across multiple nodes.</w:t>
      </w:r>
    </w:p>
    <w:p w14:paraId="64CF4AAA"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Container-based environments may be used to simplify deployment and configuration of the platform components.</w:t>
      </w:r>
    </w:p>
    <w:p w14:paraId="7F7047A7"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deployment flexibility allows organizations to adopt the platform gradually while preserving architectural consistency.</w:t>
      </w:r>
    </w:p>
    <w:p w14:paraId="1179C117" w14:textId="77777777" w:rsidR="005A1FC9" w:rsidRPr="00AD0A36" w:rsidRDefault="005A1FC9" w:rsidP="005A1FC9">
      <w:pPr>
        <w:pStyle w:val="Heading2"/>
        <w:spacing w:before="0" w:after="120"/>
        <w:rPr>
          <w:rFonts w:ascii="Arial" w:hAnsi="Arial" w:cs="Arial"/>
        </w:rPr>
      </w:pPr>
      <w:r w:rsidRPr="00AD0A36">
        <w:rPr>
          <w:rFonts w:ascii="Arial" w:hAnsi="Arial" w:cs="Arial"/>
        </w:rPr>
        <w:t>16.0 Extensibility of the Reference Implementation</w:t>
      </w:r>
    </w:p>
    <w:p w14:paraId="06F146B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The reference implementation is designed to serve as a foundation rather than a final product. Organizations may extend the platform by introducing new agent roles, additional tool integrations, alternative model providers, or custom governance policies.</w:t>
      </w:r>
    </w:p>
    <w:p w14:paraId="71333053"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Because the architecture is modular, such extensions can be implemented without disrupting the core structure of the system.</w:t>
      </w:r>
    </w:p>
    <w:p w14:paraId="53D1C96D"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extensibility ensures that the IMHOTEP platform can evolve alongside the technologies and development practices it supports.</w:t>
      </w:r>
    </w:p>
    <w:p w14:paraId="32293C61" w14:textId="77777777" w:rsidR="005A1FC9" w:rsidRPr="00AD0A36" w:rsidRDefault="005A1FC9" w:rsidP="005A1FC9">
      <w:pPr>
        <w:pStyle w:val="Heading2"/>
        <w:spacing w:before="0" w:after="120"/>
        <w:rPr>
          <w:rFonts w:ascii="Arial" w:hAnsi="Arial" w:cs="Arial"/>
        </w:rPr>
      </w:pPr>
      <w:r w:rsidRPr="00AD0A36">
        <w:rPr>
          <w:rFonts w:ascii="Arial" w:hAnsi="Arial" w:cs="Arial"/>
        </w:rPr>
        <w:t>17.0 The Reference Implementation as the First Construction</w:t>
      </w:r>
    </w:p>
    <w:p w14:paraId="72FE30A6"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Within the architectural metaphor guiding Project IMHOTEP, the reference implementation represents the first structure constructed using the principles defined in the specification. It demonstrates how the architectural blueprint can be transformed into a working system capable of performing autonomous software construction.</w:t>
      </w:r>
    </w:p>
    <w:p w14:paraId="1C9D4139"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This implementation serves as both a practical foundation for future development and a proof that the IMHOTEP architecture can be realized in practice.</w:t>
      </w:r>
    </w:p>
    <w:p w14:paraId="57DBF75B" w14:textId="77777777" w:rsidR="005A1FC9" w:rsidRPr="00AD0A36" w:rsidRDefault="005A1FC9" w:rsidP="005A1FC9">
      <w:pPr>
        <w:pStyle w:val="NormalWeb"/>
        <w:spacing w:before="0" w:beforeAutospacing="0" w:after="120" w:afterAutospacing="0"/>
        <w:rPr>
          <w:rFonts w:ascii="Arial" w:hAnsi="Arial" w:cs="Arial"/>
        </w:rPr>
      </w:pPr>
      <w:r w:rsidRPr="00AD0A36">
        <w:rPr>
          <w:rFonts w:ascii="Arial" w:hAnsi="Arial" w:cs="Arial"/>
        </w:rPr>
        <w:t>Through this reference implementation, the conceptual framework described in the earlier sections becomes a functioning platform capable of constructing the systems envisioned by its specifications.</w:t>
      </w:r>
    </w:p>
    <w:p w14:paraId="76D3810E"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57997"/>
    <w:multiLevelType w:val="multilevel"/>
    <w:tmpl w:val="E86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02B9F"/>
    <w:multiLevelType w:val="multilevel"/>
    <w:tmpl w:val="727C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1840">
    <w:abstractNumId w:val="0"/>
  </w:num>
  <w:num w:numId="2" w16cid:durableId="1441610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C9"/>
    <w:rsid w:val="00223A5B"/>
    <w:rsid w:val="005A1FC9"/>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4863B9"/>
  <w15:chartTrackingRefBased/>
  <w15:docId w15:val="{12807396-CC91-0C4A-83AA-A8874328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FC9"/>
    <w:rPr>
      <w:rFonts w:eastAsiaTheme="majorEastAsia" w:cstheme="majorBidi"/>
      <w:color w:val="272727" w:themeColor="text1" w:themeTint="D8"/>
    </w:rPr>
  </w:style>
  <w:style w:type="paragraph" w:styleId="Title">
    <w:name w:val="Title"/>
    <w:basedOn w:val="Normal"/>
    <w:next w:val="Normal"/>
    <w:link w:val="TitleChar"/>
    <w:uiPriority w:val="10"/>
    <w:qFormat/>
    <w:rsid w:val="005A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FC9"/>
    <w:pPr>
      <w:spacing w:before="160"/>
      <w:jc w:val="center"/>
    </w:pPr>
    <w:rPr>
      <w:i/>
      <w:iCs/>
      <w:color w:val="404040" w:themeColor="text1" w:themeTint="BF"/>
    </w:rPr>
  </w:style>
  <w:style w:type="character" w:customStyle="1" w:styleId="QuoteChar">
    <w:name w:val="Quote Char"/>
    <w:basedOn w:val="DefaultParagraphFont"/>
    <w:link w:val="Quote"/>
    <w:uiPriority w:val="29"/>
    <w:rsid w:val="005A1FC9"/>
    <w:rPr>
      <w:i/>
      <w:iCs/>
      <w:color w:val="404040" w:themeColor="text1" w:themeTint="BF"/>
    </w:rPr>
  </w:style>
  <w:style w:type="paragraph" w:styleId="ListParagraph">
    <w:name w:val="List Paragraph"/>
    <w:basedOn w:val="Normal"/>
    <w:uiPriority w:val="34"/>
    <w:qFormat/>
    <w:rsid w:val="005A1FC9"/>
    <w:pPr>
      <w:ind w:left="720"/>
      <w:contextualSpacing/>
    </w:pPr>
  </w:style>
  <w:style w:type="character" w:styleId="IntenseEmphasis">
    <w:name w:val="Intense Emphasis"/>
    <w:basedOn w:val="DefaultParagraphFont"/>
    <w:uiPriority w:val="21"/>
    <w:qFormat/>
    <w:rsid w:val="005A1FC9"/>
    <w:rPr>
      <w:i/>
      <w:iCs/>
      <w:color w:val="0F4761" w:themeColor="accent1" w:themeShade="BF"/>
    </w:rPr>
  </w:style>
  <w:style w:type="paragraph" w:styleId="IntenseQuote">
    <w:name w:val="Intense Quote"/>
    <w:basedOn w:val="Normal"/>
    <w:next w:val="Normal"/>
    <w:link w:val="IntenseQuoteChar"/>
    <w:uiPriority w:val="30"/>
    <w:qFormat/>
    <w:rsid w:val="005A1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FC9"/>
    <w:rPr>
      <w:i/>
      <w:iCs/>
      <w:color w:val="0F4761" w:themeColor="accent1" w:themeShade="BF"/>
    </w:rPr>
  </w:style>
  <w:style w:type="character" w:styleId="IntenseReference">
    <w:name w:val="Intense Reference"/>
    <w:basedOn w:val="DefaultParagraphFont"/>
    <w:uiPriority w:val="32"/>
    <w:qFormat/>
    <w:rsid w:val="005A1FC9"/>
    <w:rPr>
      <w:b/>
      <w:bCs/>
      <w:smallCaps/>
      <w:color w:val="0F4761" w:themeColor="accent1" w:themeShade="BF"/>
      <w:spacing w:val="5"/>
    </w:rPr>
  </w:style>
  <w:style w:type="paragraph" w:styleId="NormalWeb">
    <w:name w:val="Normal (Web)"/>
    <w:basedOn w:val="Normal"/>
    <w:uiPriority w:val="99"/>
    <w:semiHidden/>
    <w:unhideWhenUsed/>
    <w:rsid w:val="005A1F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1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1589</Words>
  <Characters>9063</Characters>
  <Application>Microsoft Office Word</Application>
  <DocSecurity>0</DocSecurity>
  <Lines>75</Lines>
  <Paragraphs>21</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2026-03-18T19:40:00Z</dcterms:created>
  <dcterms:modified xsi:type="dcterms:W3CDTF">2026-03-18T19:41:00Z</dcterms:modified>
</cp:coreProperties>
</file>