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2CDC6" w14:textId="3072E873" w:rsidR="006A7C31" w:rsidRPr="006C0FF2" w:rsidRDefault="006C0FF2" w:rsidP="006C0FF2">
      <w:pPr>
        <w:pStyle w:val="Title"/>
        <w:rPr>
          <w:sz w:val="44"/>
          <w:szCs w:val="44"/>
        </w:rPr>
      </w:pPr>
      <w:r w:rsidRPr="006C0FF2">
        <w:rPr>
          <w:sz w:val="44"/>
          <w:szCs w:val="44"/>
        </w:rPr>
        <w:t>IMHOTEP Autonomous Development Loop</w:t>
      </w:r>
    </w:p>
    <w:p w14:paraId="300C6476" w14:textId="77777777" w:rsidR="006C0FF2" w:rsidRDefault="006C0FF2" w:rsidP="006C0FF2">
      <w:pPr>
        <w:pStyle w:val="NormalWeb"/>
      </w:pPr>
      <w:r>
        <w:t xml:space="preserve">In the IMHOTEP architecture, the transition from unstructured human requirements to a deterministic, machine-executable blueprint is achieved through the Canonical Semantic Model, which strictly organizes system design into 13 discrete canonical entities. By mapping all architectural intent directly to these precise elements—Project, Context, Stakeholder, Actor, Capability, Requirement, Service, Interface, </w:t>
      </w:r>
      <w:proofErr w:type="spellStart"/>
      <w:r>
        <w:t>DataEntity</w:t>
      </w:r>
      <w:proofErr w:type="spellEnd"/>
      <w:r>
        <w:t xml:space="preserve">, Workflow, Policy, Infrastructure, and Validation—the Specification Engine </w:t>
      </w:r>
      <w:proofErr w:type="gramStart"/>
      <w:r>
        <w:t>is able to</w:t>
      </w:r>
      <w:proofErr w:type="gramEnd"/>
      <w:r>
        <w:t xml:space="preserve"> perform deep semantic normalization. This rigorous taxonomy, enforced via Strict Entity Demarcation within the Structured Transaction Payload (STP), ensures the resulting specification is immediately machine-</w:t>
      </w:r>
      <w:proofErr w:type="spellStart"/>
      <w:r>
        <w:t>parseable</w:t>
      </w:r>
      <w:proofErr w:type="spellEnd"/>
      <w:r>
        <w:t xml:space="preserve"> and actively isolates architectural design from implementation mechanics. Furthermore, this exact categorization enables the platform to explicitly cross-reference constraints and construct a bidirectional Traceability Graph, establishing the structural and mathematical memory required for the execution runtime to perform automated impact analysis, deterministic validation, and continuous autonomous repair cycles.</w:t>
      </w:r>
    </w:p>
    <w:p w14:paraId="416EFBD9" w14:textId="78D8CE02" w:rsidR="006C0FF2" w:rsidRDefault="006C0FF2" w:rsidP="006C0FF2">
      <w:pPr>
        <w:pStyle w:val="NormalWeb"/>
      </w:pPr>
      <w:r>
        <w:t>The Autonomous Development Loop includes:</w:t>
      </w:r>
    </w:p>
    <w:p w14:paraId="234651B3" w14:textId="77777777" w:rsidR="006C0FF2" w:rsidRDefault="006C0FF2" w:rsidP="006C0FF2">
      <w:pPr>
        <w:pStyle w:val="NormalWeb"/>
      </w:pPr>
      <w:r>
        <w:rPr>
          <w:rStyle w:val="Strong"/>
        </w:rPr>
        <w:t>1. Specification Intake:</w:t>
      </w:r>
      <w:r>
        <w:t xml:space="preserve"> The process begins when the human governance team submits the formal Structured Transaction Payload (STP) to the platform's Specification Engine. </w:t>
      </w:r>
      <w:r>
        <w:rPr>
          <w:rStyle w:val="Strong"/>
        </w:rPr>
        <w:t>This step is critical because it forces human intent, business constraints, and security policies to be explicitly defined before any autonomous action occurs.</w:t>
      </w:r>
      <w:r>
        <w:t xml:space="preserve"> By acting as the master blueprint, it shifts the focus of software development from manual coding to architectural design and prevents the AI from guessing or hallucinating unverified requirements.</w:t>
      </w:r>
    </w:p>
    <w:p w14:paraId="5BB8F66D" w14:textId="77777777" w:rsidR="006C0FF2" w:rsidRDefault="006C0FF2" w:rsidP="006C0FF2">
      <w:pPr>
        <w:pStyle w:val="NormalWeb"/>
      </w:pPr>
      <w:r>
        <w:rPr>
          <w:rStyle w:val="Strong"/>
        </w:rPr>
        <w:t>2. Semantic Normalization:</w:t>
      </w:r>
      <w:r>
        <w:t xml:space="preserve"> The Specification Engine parses the human-authored blueprint and converts it into the Canonical Semantic Model, representing the architecture as an interconnected graph of entities. </w:t>
      </w:r>
      <w:r>
        <w:rPr>
          <w:rStyle w:val="Strong"/>
        </w:rPr>
        <w:t>This step is critical because it translates human language into a rigorous, machine-interpretable format.</w:t>
      </w:r>
      <w:r>
        <w:t xml:space="preserve"> During this process, it establishes a bidirectional Traceability Graph by assigning unique identifiers to every element, which serves as the permanent memory linking the final code back to the original business intent.</w:t>
      </w:r>
    </w:p>
    <w:p w14:paraId="61D2887D" w14:textId="77777777" w:rsidR="006C0FF2" w:rsidRDefault="006C0FF2" w:rsidP="006C0FF2">
      <w:pPr>
        <w:pStyle w:val="NormalWeb"/>
      </w:pPr>
      <w:r>
        <w:rPr>
          <w:rStyle w:val="Strong"/>
        </w:rPr>
        <w:t>3. Construction Planning:</w:t>
      </w:r>
      <w:r>
        <w:t xml:space="preserve"> The platform’s Planning Engine analyzes the semantic model and translates it into a sequential, dependency-mapped Construction Task Graph. </w:t>
      </w:r>
      <w:r>
        <w:rPr>
          <w:rStyle w:val="Strong"/>
        </w:rPr>
        <w:t>This step is critical because it organizes the complex work of building a system into an actionable, logical sequence.</w:t>
      </w:r>
      <w:r>
        <w:t xml:space="preserve"> By resolving dependencies and identifying opportunities for parallel work, it ensures the system is assembled coherently and gives the execution runtime a precise operational roadmap to follow.</w:t>
      </w:r>
    </w:p>
    <w:p w14:paraId="64CB1BE5" w14:textId="77777777" w:rsidR="006C0FF2" w:rsidRDefault="006C0FF2" w:rsidP="006C0FF2">
      <w:pPr>
        <w:pStyle w:val="NormalWeb"/>
      </w:pPr>
      <w:r>
        <w:rPr>
          <w:rStyle w:val="Strong"/>
        </w:rPr>
        <w:t>4. Agent Generation:</w:t>
      </w:r>
      <w:r>
        <w:t xml:space="preserve"> The Agent Orchestrator dispatches specialized reasoning agents, such as the Implementation Generator, to act on the task graph and produce the concrete software artifacts like source code, configuration files, and schemas. </w:t>
      </w:r>
      <w:r>
        <w:rPr>
          <w:rStyle w:val="Strong"/>
        </w:rPr>
        <w:t>This step is critical because it represents the cognitive workforce performing the mechanical labor of software engineering.</w:t>
      </w:r>
      <w:r>
        <w:t xml:space="preserve"> By separating reasoning into specialized agent roles, the platform translates static architectural designs into executable system components efficiently.</w:t>
      </w:r>
    </w:p>
    <w:p w14:paraId="5EF9FD07" w14:textId="77777777" w:rsidR="006C0FF2" w:rsidRDefault="006C0FF2" w:rsidP="006C0FF2">
      <w:pPr>
        <w:pStyle w:val="NormalWeb"/>
      </w:pPr>
      <w:r>
        <w:rPr>
          <w:rStyle w:val="Strong"/>
        </w:rPr>
        <w:lastRenderedPageBreak/>
        <w:t>5. Deterministic Validation &amp; Repair Loop:</w:t>
      </w:r>
      <w:r>
        <w:t xml:space="preserve"> The generated artifacts are instantly tested against external, deterministic engineering tools, such as compilers and security scanners; if a test fails, the Repair Analyst agent autonomously diagnoses and fixes the code in a continuous loop. </w:t>
      </w:r>
      <w:r>
        <w:rPr>
          <w:rStyle w:val="Strong"/>
        </w:rPr>
        <w:t>This step is critical because generative AI alone cannot guarantee functional or secure software.</w:t>
      </w:r>
      <w:r>
        <w:t xml:space="preserve"> By balancing AI generation with objective engineering validation, the platform ensures the system is structurally sound, compliant, and reliable before it ever advances.</w:t>
      </w:r>
    </w:p>
    <w:p w14:paraId="376CD168" w14:textId="77777777" w:rsidR="006C0FF2" w:rsidRDefault="006C0FF2" w:rsidP="006C0FF2">
      <w:pPr>
        <w:pStyle w:val="NormalWeb"/>
      </w:pPr>
      <w:r>
        <w:rPr>
          <w:rStyle w:val="Strong"/>
        </w:rPr>
        <w:t>6. Artifact Consolidation &amp; Deployment:</w:t>
      </w:r>
      <w:r>
        <w:t xml:space="preserve"> Once the software passes all deterministic validation, the completed artifacts are consolidated into the version-controlled Artifact Repository, and the Deployment Preparer readies the system for operational use. </w:t>
      </w:r>
      <w:r>
        <w:rPr>
          <w:rStyle w:val="Strong"/>
        </w:rPr>
        <w:t>This step is critical because it transforms isolated generated files into a unified, enterprise-ready software package.</w:t>
      </w:r>
      <w:r>
        <w:t xml:space="preserve"> It bridges the gap between autonomous construction and real-world execution, ensuring the system can be deployed reliably using standard infrastructure pipelines.</w:t>
      </w:r>
    </w:p>
    <w:p w14:paraId="64AA50C8" w14:textId="77777777" w:rsidR="006C0FF2" w:rsidRDefault="006C0FF2" w:rsidP="006C0FF2">
      <w:pPr>
        <w:pStyle w:val="NormalWeb"/>
      </w:pPr>
      <w:r>
        <w:rPr>
          <w:rStyle w:val="Strong"/>
        </w:rPr>
        <w:t>7. Day 2 Targeted Reconstruction (Updates):</w:t>
      </w:r>
      <w:r>
        <w:t xml:space="preserve"> As business requirements evolve over time, human architects update the specification blueprint, triggering the platform's Traceability Engine to perform an automated impact analysis to find exactly what was affected. </w:t>
      </w:r>
      <w:r>
        <w:rPr>
          <w:rStyle w:val="Strong"/>
        </w:rPr>
        <w:t>This step is critical because it completely replaces the traditional, manual software maintenance phase.</w:t>
      </w:r>
      <w:r>
        <w:t xml:space="preserve"> It ensures that only the impacted components are regenerated, allowing the operational system to continuously adapt and remain perfectly aligned with the evolving enterprise blueprint without needing to rebuild the entire system from scratch.</w:t>
      </w:r>
    </w:p>
    <w:p w14:paraId="2F9228F9" w14:textId="4AC934AE" w:rsidR="006C0FF2" w:rsidRDefault="006C0FF2" w:rsidP="006C0FF2">
      <w:pPr>
        <w:pStyle w:val="Heading1"/>
      </w:pPr>
      <w:r>
        <w:t>What is next?</w:t>
      </w:r>
    </w:p>
    <w:p w14:paraId="5E7CC1CA" w14:textId="77777777" w:rsidR="00C92206" w:rsidRDefault="00C92206" w:rsidP="00C92206">
      <w:pPr>
        <w:pStyle w:val="NormalWeb"/>
      </w:pPr>
      <w:r>
        <w:t>The immediate next step in our agenda is to formally execute the Human Approval Gates and commit the validated specification into your version-controlled Artifact Repository. This effort is critically important because it represents the final "mechanical handoff" that officially elevates the blueprint to the Autonomous-Ready level, establishing the authoritative architectural baseline required for the platform's bidirectional traceability graph. By securing explicit human sign-off on the security constraints, architecture, and deterministic validation mappings prior to this commit, we strictly enforce the zero-trust governance model and guarantee that the system perfectly aligns with your organizational intent before a single line of code is written. Once this repository commit is executed, manual intervention pauses, safely allowing the Execution Runtime to assume control, autonomously generate the construction task graph, and dispatch the Implementation Generator to build the .NET REST service.</w:t>
      </w:r>
    </w:p>
    <w:p w14:paraId="51C3EE9B" w14:textId="7E6E4600" w:rsidR="006C0FF2" w:rsidRDefault="00C92206">
      <w:r>
        <w:t>Find this discussion and code in GITHUB:</w:t>
      </w:r>
    </w:p>
    <w:p w14:paraId="44419BF3" w14:textId="3515A690" w:rsidR="00C92206" w:rsidRDefault="00C92206" w:rsidP="00C92206">
      <w:pPr>
        <w:pStyle w:val="ListParagraph"/>
        <w:numPr>
          <w:ilvl w:val="0"/>
          <w:numId w:val="1"/>
        </w:numPr>
      </w:pPr>
      <w:hyperlink r:id="rId5" w:history="1">
        <w:r w:rsidRPr="007B4626">
          <w:rPr>
            <w:rStyle w:val="Hyperlink"/>
          </w:rPr>
          <w:t>https://github.com/eci-repos/Imhotep.Specifications</w:t>
        </w:r>
      </w:hyperlink>
    </w:p>
    <w:p w14:paraId="45663140" w14:textId="778C1495" w:rsidR="00C92206" w:rsidRDefault="00C92206" w:rsidP="00C92206">
      <w:pPr>
        <w:pStyle w:val="ListParagraph"/>
        <w:numPr>
          <w:ilvl w:val="0"/>
          <w:numId w:val="1"/>
        </w:numPr>
      </w:pPr>
      <w:hyperlink r:id="rId6" w:history="1">
        <w:r w:rsidRPr="007B4626">
          <w:rPr>
            <w:rStyle w:val="Hyperlink"/>
          </w:rPr>
          <w:t>https://github.com/eci-repos/Imhotep.</w:t>
        </w:r>
        <w:r w:rsidRPr="007B4626">
          <w:rPr>
            <w:rStyle w:val="Hyperlink"/>
          </w:rPr>
          <w:t>Engine</w:t>
        </w:r>
      </w:hyperlink>
    </w:p>
    <w:p w14:paraId="73A098C7" w14:textId="77777777" w:rsidR="00DB5143" w:rsidRDefault="00DB5143"/>
    <w:sectPr w:rsidR="00DB5143"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A0F69"/>
    <w:multiLevelType w:val="hybridMultilevel"/>
    <w:tmpl w:val="AEB27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0417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FF2"/>
    <w:rsid w:val="00085F0B"/>
    <w:rsid w:val="00223A5B"/>
    <w:rsid w:val="005F714F"/>
    <w:rsid w:val="006A7C31"/>
    <w:rsid w:val="006C0FF2"/>
    <w:rsid w:val="006F4208"/>
    <w:rsid w:val="009752BB"/>
    <w:rsid w:val="00984106"/>
    <w:rsid w:val="00997A3E"/>
    <w:rsid w:val="00C2250B"/>
    <w:rsid w:val="00C92206"/>
    <w:rsid w:val="00CA38A3"/>
    <w:rsid w:val="00DB5143"/>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FF336D0"/>
  <w15:chartTrackingRefBased/>
  <w15:docId w15:val="{FEEBE51D-7582-0F4A-B292-31E6047B7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F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F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F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F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F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F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F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F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F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F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F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F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F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F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F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F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F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FF2"/>
    <w:rPr>
      <w:rFonts w:eastAsiaTheme="majorEastAsia" w:cstheme="majorBidi"/>
      <w:color w:val="272727" w:themeColor="text1" w:themeTint="D8"/>
    </w:rPr>
  </w:style>
  <w:style w:type="paragraph" w:styleId="Title">
    <w:name w:val="Title"/>
    <w:basedOn w:val="Normal"/>
    <w:next w:val="Normal"/>
    <w:link w:val="TitleChar"/>
    <w:uiPriority w:val="10"/>
    <w:qFormat/>
    <w:rsid w:val="006C0F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F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F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F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FF2"/>
    <w:pPr>
      <w:spacing w:before="160"/>
      <w:jc w:val="center"/>
    </w:pPr>
    <w:rPr>
      <w:i/>
      <w:iCs/>
      <w:color w:val="404040" w:themeColor="text1" w:themeTint="BF"/>
    </w:rPr>
  </w:style>
  <w:style w:type="character" w:customStyle="1" w:styleId="QuoteChar">
    <w:name w:val="Quote Char"/>
    <w:basedOn w:val="DefaultParagraphFont"/>
    <w:link w:val="Quote"/>
    <w:uiPriority w:val="29"/>
    <w:rsid w:val="006C0FF2"/>
    <w:rPr>
      <w:i/>
      <w:iCs/>
      <w:color w:val="404040" w:themeColor="text1" w:themeTint="BF"/>
    </w:rPr>
  </w:style>
  <w:style w:type="paragraph" w:styleId="ListParagraph">
    <w:name w:val="List Paragraph"/>
    <w:basedOn w:val="Normal"/>
    <w:uiPriority w:val="34"/>
    <w:qFormat/>
    <w:rsid w:val="006C0FF2"/>
    <w:pPr>
      <w:ind w:left="720"/>
      <w:contextualSpacing/>
    </w:pPr>
  </w:style>
  <w:style w:type="character" w:styleId="IntenseEmphasis">
    <w:name w:val="Intense Emphasis"/>
    <w:basedOn w:val="DefaultParagraphFont"/>
    <w:uiPriority w:val="21"/>
    <w:qFormat/>
    <w:rsid w:val="006C0FF2"/>
    <w:rPr>
      <w:i/>
      <w:iCs/>
      <w:color w:val="0F4761" w:themeColor="accent1" w:themeShade="BF"/>
    </w:rPr>
  </w:style>
  <w:style w:type="paragraph" w:styleId="IntenseQuote">
    <w:name w:val="Intense Quote"/>
    <w:basedOn w:val="Normal"/>
    <w:next w:val="Normal"/>
    <w:link w:val="IntenseQuoteChar"/>
    <w:uiPriority w:val="30"/>
    <w:qFormat/>
    <w:rsid w:val="006C0F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FF2"/>
    <w:rPr>
      <w:i/>
      <w:iCs/>
      <w:color w:val="0F4761" w:themeColor="accent1" w:themeShade="BF"/>
    </w:rPr>
  </w:style>
  <w:style w:type="character" w:styleId="IntenseReference">
    <w:name w:val="Intense Reference"/>
    <w:basedOn w:val="DefaultParagraphFont"/>
    <w:uiPriority w:val="32"/>
    <w:qFormat/>
    <w:rsid w:val="006C0FF2"/>
    <w:rPr>
      <w:b/>
      <w:bCs/>
      <w:smallCaps/>
      <w:color w:val="0F4761" w:themeColor="accent1" w:themeShade="BF"/>
      <w:spacing w:val="5"/>
    </w:rPr>
  </w:style>
  <w:style w:type="paragraph" w:styleId="NormalWeb">
    <w:name w:val="Normal (Web)"/>
    <w:basedOn w:val="Normal"/>
    <w:uiPriority w:val="99"/>
    <w:semiHidden/>
    <w:unhideWhenUsed/>
    <w:rsid w:val="006C0FF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C0FF2"/>
    <w:rPr>
      <w:b/>
      <w:bCs/>
    </w:rPr>
  </w:style>
  <w:style w:type="character" w:styleId="Hyperlink">
    <w:name w:val="Hyperlink"/>
    <w:basedOn w:val="DefaultParagraphFont"/>
    <w:uiPriority w:val="99"/>
    <w:unhideWhenUsed/>
    <w:rsid w:val="00C92206"/>
    <w:rPr>
      <w:color w:val="467886" w:themeColor="hyperlink"/>
      <w:u w:val="single"/>
    </w:rPr>
  </w:style>
  <w:style w:type="character" w:styleId="UnresolvedMention">
    <w:name w:val="Unresolved Mention"/>
    <w:basedOn w:val="DefaultParagraphFont"/>
    <w:uiPriority w:val="99"/>
    <w:semiHidden/>
    <w:unhideWhenUsed/>
    <w:rsid w:val="00C922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eci-repos/Imhotep.Engine" TargetMode="External"/><Relationship Id="rId5" Type="http://schemas.openxmlformats.org/officeDocument/2006/relationships/hyperlink" Target="https://github.com/eci-repos/Imhotep.Specifica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936</Words>
  <Characters>5336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2</cp:revision>
  <dcterms:created xsi:type="dcterms:W3CDTF">2026-05-02T09:25:00Z</dcterms:created>
  <dcterms:modified xsi:type="dcterms:W3CDTF">2026-05-02T09:46:00Z</dcterms:modified>
</cp:coreProperties>
</file>