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F48" w14:textId="4DD06AD4" w:rsidR="009A7607" w:rsidRDefault="009A7607" w:rsidP="009A760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IMHOTEP </w:t>
      </w:r>
      <w:r w:rsidR="00CD018E">
        <w:rPr>
          <w:rFonts w:ascii="Segoe UI" w:hAnsi="Segoe UI" w:cs="Segoe UI"/>
        </w:rPr>
        <w:t xml:space="preserve">MACS </w:t>
      </w:r>
      <w:r>
        <w:rPr>
          <w:rFonts w:ascii="Segoe UI" w:hAnsi="Segoe UI" w:cs="Segoe UI"/>
        </w:rPr>
        <w:t>– Architectural Milestone</w:t>
      </w:r>
    </w:p>
    <w:p w14:paraId="290322A8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2026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04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noBreakHyphen/>
        <w:t>12</w:t>
      </w:r>
    </w:p>
    <w:p w14:paraId="4B82A2B5" w14:textId="77777777" w:rsidR="0017100E" w:rsidRDefault="0017100E" w:rsidP="0017100E">
      <w:r>
        <w:t>Find this and other discussions – code repositories in GITHUB at:</w:t>
      </w:r>
    </w:p>
    <w:p w14:paraId="6DA8D5D7" w14:textId="77777777" w:rsidR="0017100E" w:rsidRDefault="0017100E" w:rsidP="0017100E">
      <w:pPr>
        <w:pStyle w:val="ListParagraph"/>
        <w:numPr>
          <w:ilvl w:val="0"/>
          <w:numId w:val="6"/>
        </w:numPr>
        <w:spacing w:after="0"/>
        <w:ind w:left="450" w:hanging="270"/>
      </w:pPr>
      <w:r>
        <w:t xml:space="preserve">IMHOTEP Specifications - </w:t>
      </w:r>
      <w:hyperlink r:id="rId5" w:history="1">
        <w:r w:rsidRPr="00137F52">
          <w:rPr>
            <w:rStyle w:val="Hyperlink"/>
          </w:rPr>
          <w:t>https://github.com/eci-repos/Imhotep.Specifications</w:t>
        </w:r>
      </w:hyperlink>
    </w:p>
    <w:p w14:paraId="01207C04" w14:textId="77777777" w:rsidR="0017100E" w:rsidRDefault="0017100E" w:rsidP="0017100E">
      <w:pPr>
        <w:pStyle w:val="ListParagraph"/>
        <w:numPr>
          <w:ilvl w:val="0"/>
          <w:numId w:val="6"/>
        </w:numPr>
        <w:ind w:left="450" w:hanging="270"/>
      </w:pPr>
      <w:r>
        <w:t xml:space="preserve">IMHOTEP Engine - </w:t>
      </w:r>
      <w:hyperlink r:id="rId6" w:history="1">
        <w:r w:rsidRPr="00137F52">
          <w:rPr>
            <w:rStyle w:val="Hyperlink"/>
          </w:rPr>
          <w:t>https://github.com/eci-repos/Imhotep.Engine</w:t>
        </w:r>
      </w:hyperlink>
      <w:r>
        <w:t xml:space="preserve"> </w:t>
      </w:r>
    </w:p>
    <w:p w14:paraId="56424FF0" w14:textId="77777777" w:rsidR="0017100E" w:rsidRDefault="0017100E" w:rsidP="0017100E">
      <w:r>
        <w:t>Find “</w:t>
      </w:r>
      <w:proofErr w:type="spellStart"/>
      <w:r>
        <w:t>eci</w:t>
      </w:r>
      <w:proofErr w:type="spellEnd"/>
      <w:r>
        <w:t>-repos” in GITHUB for other efforts.</w:t>
      </w:r>
    </w:p>
    <w:p w14:paraId="46C202D0" w14:textId="3B311325" w:rsidR="0017100E" w:rsidRDefault="0017100E" w:rsidP="0017100E">
      <w:pPr>
        <w:pStyle w:val="Heading1"/>
      </w:pPr>
      <w:r>
        <w:t>Summary</w:t>
      </w:r>
    </w:p>
    <w:p w14:paraId="78555508" w14:textId="294E954A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document marks the successful completion of a major architectural milestone for IMHOTEP. With Phases 1 through 10 complete, we have translated the conceptual IMHOTEP architecture into a concrete, programmatic foundation for the Minimal Autonomous Construction System (MACS) Proof</w:t>
      </w:r>
      <w:r>
        <w:rPr>
          <w:rFonts w:ascii="Segoe UI" w:hAnsi="Segoe UI" w:cs="Segoe UI"/>
          <w:sz w:val="21"/>
          <w:szCs w:val="21"/>
        </w:rPr>
        <w:noBreakHyphen/>
        <w:t>of</w:t>
      </w:r>
      <w:r>
        <w:rPr>
          <w:rFonts w:ascii="Segoe UI" w:hAnsi="Segoe UI" w:cs="Segoe UI"/>
          <w:sz w:val="21"/>
          <w:szCs w:val="21"/>
        </w:rPr>
        <w:noBreakHyphen/>
        <w:t>Concept.</w:t>
      </w:r>
    </w:p>
    <w:p w14:paraId="7CABFC9D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By defining the entire platform strictly through immutable C# records and interfaces, we have intentionally constrained the system to operate as a deterministic construction engine rather than an unstructured AI assistant. This establishes architectural correctness, repeatability, and auditability as first</w:t>
      </w:r>
      <w:r>
        <w:rPr>
          <w:rFonts w:ascii="Segoe UI" w:hAnsi="Segoe UI" w:cs="Segoe UI"/>
          <w:sz w:val="21"/>
          <w:szCs w:val="21"/>
        </w:rPr>
        <w:noBreakHyphen/>
        <w:t>class principles from the outset.</w:t>
      </w:r>
    </w:p>
    <w:p w14:paraId="6D07206C" w14:textId="6E7DA203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comprehensive summary of the work accomplished</w:t>
      </w:r>
      <w:r>
        <w:rPr>
          <w:rFonts w:ascii="Segoe UI" w:hAnsi="Segoe UI" w:cs="Segoe UI"/>
          <w:sz w:val="21"/>
          <w:szCs w:val="21"/>
        </w:rPr>
        <w:t xml:space="preserve"> follow.</w:t>
      </w:r>
    </w:p>
    <w:p w14:paraId="4B0A05B2" w14:textId="2EE1CC4F" w:rsidR="0084462F" w:rsidRDefault="0084462F" w:rsidP="0084462F">
      <w:pPr>
        <w:pStyle w:val="Heading1"/>
      </w:pPr>
      <w:r>
        <w:t>Architectural Breakdown</w:t>
      </w:r>
    </w:p>
    <w:p w14:paraId="01A97AA6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Phases 1–4: Canonical Semantic Model &amp; Intake</w:t>
      </w:r>
    </w:p>
    <w:p w14:paraId="5DD2EDB9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Imhotep.SemanticModel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established the platform’s structural vocabulary by defining 13 discrete canonical entities (Project, Context, Service, Policy, etc.) along with the </w:t>
      </w:r>
      <w:proofErr w:type="spellStart"/>
      <w:r>
        <w:rPr>
          <w:rFonts w:ascii="Segoe UI" w:hAnsi="Segoe UI" w:cs="Segoe UI"/>
          <w:sz w:val="21"/>
          <w:szCs w:val="21"/>
        </w:rPr>
        <w:t>TraceabilityEdge</w:t>
      </w:r>
      <w:proofErr w:type="spellEnd"/>
      <w:r>
        <w:rPr>
          <w:rFonts w:ascii="Segoe UI" w:hAnsi="Segoe UI" w:cs="Segoe UI"/>
          <w:sz w:val="21"/>
          <w:szCs w:val="21"/>
        </w:rPr>
        <w:t>. Together, these form a bidirectional Traceability Graph that expresses all relationships explicitly.</w:t>
      </w:r>
    </w:p>
    <w:p w14:paraId="7FF6AD9E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model is encapsulated within the strictly immutable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rPr>
          <w:rFonts w:ascii="Segoe UI" w:hAnsi="Segoe UI" w:cs="Segoe UI"/>
          <w:sz w:val="21"/>
          <w:szCs w:val="21"/>
        </w:rPr>
        <w:t>, which serves as the authoritative architectural baseline. No planning or generation can occur without first anchoring all intent in this canonical form.</w:t>
      </w:r>
    </w:p>
    <w:p w14:paraId="356F82C8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Phase 5: Planning Engine</w:t>
      </w:r>
    </w:p>
    <w:p w14:paraId="11F8FA37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Imhotep.Planning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introduced the </w:t>
      </w:r>
      <w:proofErr w:type="spellStart"/>
      <w:r>
        <w:rPr>
          <w:rStyle w:val="HTMLCode"/>
          <w:rFonts w:eastAsiaTheme="majorEastAsia"/>
        </w:rPr>
        <w:t>ConstructionTaskGraph</w:t>
      </w:r>
      <w:proofErr w:type="spellEnd"/>
      <w:r>
        <w:rPr>
          <w:rFonts w:ascii="Segoe UI" w:hAnsi="Segoe UI" w:cs="Segoe UI"/>
          <w:sz w:val="21"/>
          <w:szCs w:val="21"/>
        </w:rPr>
        <w:t xml:space="preserve"> and the </w:t>
      </w:r>
      <w:proofErr w:type="spellStart"/>
      <w:r>
        <w:rPr>
          <w:rStyle w:val="HTMLCode"/>
          <w:rFonts w:eastAsiaTheme="majorEastAsia"/>
        </w:rPr>
        <w:t>IPlanningEngine</w:t>
      </w:r>
      <w:proofErr w:type="spellEnd"/>
      <w:r>
        <w:rPr>
          <w:rFonts w:ascii="Segoe UI" w:hAnsi="Segoe UI" w:cs="Segoe UI"/>
          <w:sz w:val="21"/>
          <w:szCs w:val="21"/>
        </w:rPr>
        <w:t xml:space="preserve"> contract. This subsystem enables the deterministic decomposition of the semantic model into actionable construction tasks with explicit dependencies, transforming a static specification into an executable development plan.</w:t>
      </w:r>
    </w:p>
    <w:p w14:paraId="17A3D55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Agent Orchestration Engine</w:t>
      </w:r>
    </w:p>
    <w:p w14:paraId="033D3245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Imhotep.Agents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defined </w:t>
      </w:r>
      <w:proofErr w:type="spellStart"/>
      <w:r>
        <w:rPr>
          <w:rStyle w:val="HTMLCode"/>
          <w:rFonts w:eastAsiaTheme="majorEastAsia"/>
        </w:rPr>
        <w:t>AgentContext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HTMLCode"/>
          <w:rFonts w:eastAsiaTheme="majorEastAsia"/>
        </w:rPr>
        <w:t>AgentResponse</w:t>
      </w:r>
      <w:proofErr w:type="spellEnd"/>
      <w:r>
        <w:rPr>
          <w:rFonts w:ascii="Segoe UI" w:hAnsi="Segoe UI" w:cs="Segoe UI"/>
          <w:sz w:val="21"/>
          <w:szCs w:val="21"/>
        </w:rPr>
        <w:t xml:space="preserve">, and the </w:t>
      </w:r>
      <w:proofErr w:type="spellStart"/>
      <w:r>
        <w:rPr>
          <w:rStyle w:val="HTMLCode"/>
          <w:rFonts w:eastAsiaTheme="majorEastAsia"/>
        </w:rPr>
        <w:t>IAgentOrchestrator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interfaces, establishing a bounded cognitive workforce. Specialized agents (e.g., Implementation Generator, Repair Analyst) operate strictly through structured contracts, ensuring controlled execution rather than unbounded conversational behavior.</w:t>
      </w:r>
    </w:p>
    <w:p w14:paraId="5DBE409B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6: Tool Plugin Architecture</w:t>
      </w:r>
    </w:p>
    <w:p w14:paraId="66C15559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Imhotep.Tools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established the </w:t>
      </w:r>
      <w:proofErr w:type="spellStart"/>
      <w:r>
        <w:rPr>
          <w:rStyle w:val="HTMLCode"/>
          <w:rFonts w:eastAsiaTheme="majorEastAsia"/>
        </w:rPr>
        <w:t>ValidationRequest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HTMLCode"/>
          <w:rFonts w:eastAsiaTheme="majorEastAsia"/>
        </w:rPr>
        <w:t>ValidationResult</w:t>
      </w:r>
      <w:proofErr w:type="spellEnd"/>
      <w:r>
        <w:rPr>
          <w:rFonts w:ascii="Segoe UI" w:hAnsi="Segoe UI" w:cs="Segoe UI"/>
          <w:sz w:val="21"/>
          <w:szCs w:val="21"/>
        </w:rPr>
        <w:t xml:space="preserve">, and </w:t>
      </w:r>
      <w:proofErr w:type="spellStart"/>
      <w:r>
        <w:rPr>
          <w:rStyle w:val="HTMLCode"/>
          <w:rFonts w:eastAsiaTheme="majorEastAsia"/>
        </w:rPr>
        <w:t>IValidationPlugin</w:t>
      </w:r>
      <w:proofErr w:type="spellEnd"/>
      <w:r>
        <w:rPr>
          <w:rFonts w:ascii="Segoe UI" w:hAnsi="Segoe UI" w:cs="Segoe UI"/>
          <w:sz w:val="21"/>
          <w:szCs w:val="21"/>
        </w:rPr>
        <w:t xml:space="preserve"> abstractions to integrate deterministic engineering tools into the pipeline. This guarantees that AI</w:t>
      </w:r>
      <w:r>
        <w:rPr>
          <w:rFonts w:ascii="Segoe UI" w:hAnsi="Segoe UI" w:cs="Segoe UI"/>
          <w:sz w:val="21"/>
          <w:szCs w:val="21"/>
        </w:rPr>
        <w:noBreakHyphen/>
        <w:t>generated artifacts are objectively validated (e.g., schema validation, security scanning) and that raw tool output is translated into machine</w:t>
      </w:r>
      <w:r>
        <w:rPr>
          <w:rFonts w:ascii="Segoe UI" w:hAnsi="Segoe UI" w:cs="Segoe UI"/>
          <w:sz w:val="21"/>
          <w:szCs w:val="21"/>
        </w:rPr>
        <w:noBreakHyphen/>
      </w:r>
      <w:proofErr w:type="spellStart"/>
      <w:r>
        <w:rPr>
          <w:rFonts w:ascii="Segoe UI" w:hAnsi="Segoe UI" w:cs="Segoe UI"/>
          <w:sz w:val="21"/>
          <w:szCs w:val="21"/>
        </w:rPr>
        <w:t>parseable</w:t>
      </w:r>
      <w:proofErr w:type="spellEnd"/>
      <w:r>
        <w:rPr>
          <w:rFonts w:ascii="Segoe UI" w:hAnsi="Segoe UI" w:cs="Segoe UI"/>
          <w:sz w:val="21"/>
          <w:szCs w:val="21"/>
        </w:rPr>
        <w:t xml:space="preserve"> results.</w:t>
      </w:r>
    </w:p>
    <w:p w14:paraId="21F41C6A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7: Execution Runtime</w:t>
      </w:r>
    </w:p>
    <w:p w14:paraId="2CF2C342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Imhotep.Runtime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defined the operational core through the </w:t>
      </w:r>
      <w:proofErr w:type="spellStart"/>
      <w:r>
        <w:rPr>
          <w:rStyle w:val="HTMLCode"/>
          <w:rFonts w:eastAsiaTheme="majorEastAsia"/>
        </w:rPr>
        <w:t>ExecutionState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proofErr w:type="spellStart"/>
      <w:r>
        <w:rPr>
          <w:rStyle w:val="HTMLCode"/>
          <w:rFonts w:eastAsiaTheme="majorEastAsia"/>
        </w:rPr>
        <w:t>IExecutionRuntime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interfaces. This runtime acts as the construction foreman, managing task scheduling, agent dispatch, tool validation, failure detection, and automated repair cycles in a continuous, closed loop.</w:t>
      </w:r>
    </w:p>
    <w:p w14:paraId="78399004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8: Observability and Telemetry</w:t>
      </w:r>
    </w:p>
    <w:p w14:paraId="5356EFE0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Imhotep.Observability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constructed the system’s “Watchtower” by defining </w:t>
      </w:r>
      <w:proofErr w:type="spellStart"/>
      <w:r>
        <w:rPr>
          <w:rStyle w:val="HTMLCode"/>
          <w:rFonts w:eastAsiaTheme="majorEastAsia"/>
        </w:rPr>
        <w:t>ITelemetryEvent</w:t>
      </w:r>
      <w:proofErr w:type="spellEnd"/>
      <w:r>
        <w:rPr>
          <w:rFonts w:ascii="Segoe UI" w:hAnsi="Segoe UI" w:cs="Segoe UI"/>
          <w:sz w:val="21"/>
          <w:szCs w:val="21"/>
        </w:rPr>
        <w:t xml:space="preserve"> structures covering execution flow, agent activity, tool interaction, and governance decisions. Every autonomous action is captured as quantifiable telemetry, ensuring full transparency and auditability for human operators.</w:t>
      </w:r>
    </w:p>
    <w:p w14:paraId="493D391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9: Governance and Control</w:t>
      </w:r>
    </w:p>
    <w:p w14:paraId="4CC51E72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Imhotep.Governance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We embedded </w:t>
      </w:r>
      <w:proofErr w:type="spellStart"/>
      <w:r>
        <w:rPr>
          <w:rStyle w:val="HTMLCode"/>
          <w:rFonts w:eastAsiaTheme="majorEastAsia"/>
        </w:rPr>
        <w:t>GovernancePolicy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proofErr w:type="spellStart"/>
      <w:r>
        <w:rPr>
          <w:rStyle w:val="HTMLCode"/>
          <w:rFonts w:eastAsiaTheme="majorEastAsia"/>
        </w:rPr>
        <w:t>ApprovalGate</w:t>
      </w:r>
      <w:proofErr w:type="spellEnd"/>
      <w:r>
        <w:rPr>
          <w:rFonts w:ascii="Segoe UI" w:hAnsi="Segoe UI" w:cs="Segoe UI"/>
          <w:sz w:val="21"/>
          <w:szCs w:val="21"/>
        </w:rPr>
        <w:t xml:space="preserve"> records directly into the architecture. This </w:t>
      </w:r>
      <w:r>
        <w:rPr>
          <w:rFonts w:ascii="Segoe UI" w:hAnsi="Segoe UI" w:cs="Segoe UI"/>
          <w:sz w:val="21"/>
          <w:szCs w:val="21"/>
        </w:rPr>
        <w:lastRenderedPageBreak/>
        <w:t>enforces enterprise compliance requirements (e.g., CJIS, NIST) and requires formal human authorization before any specification is allowed to advance into execution.</w:t>
      </w:r>
    </w:p>
    <w:p w14:paraId="412DE07E" w14:textId="77777777" w:rsidR="009A7607" w:rsidRDefault="009A7607" w:rsidP="009A760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Phase 10: Artifact Repository</w:t>
      </w:r>
    </w:p>
    <w:p w14:paraId="180A1CE4" w14:textId="77777777" w:rsidR="009A7607" w:rsidRDefault="009A7607" w:rsidP="009A7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eastAsiaTheme="majorEastAsia" w:hAnsi="Segoe UI" w:cs="Segoe UI"/>
          <w:sz w:val="21"/>
          <w:szCs w:val="21"/>
        </w:rPr>
        <w:t>(</w:t>
      </w:r>
      <w:proofErr w:type="spellStart"/>
      <w:r>
        <w:rPr>
          <w:rStyle w:val="Emphasis"/>
          <w:rFonts w:ascii="Segoe UI" w:eastAsiaTheme="majorEastAsia" w:hAnsi="Segoe UI" w:cs="Segoe UI"/>
          <w:sz w:val="21"/>
          <w:szCs w:val="21"/>
        </w:rPr>
        <w:t>Imhotep.Repository</w:t>
      </w:r>
      <w:proofErr w:type="spellEnd"/>
      <w:r>
        <w:rPr>
          <w:rStyle w:val="Emphasis"/>
          <w:rFonts w:ascii="Segoe UI" w:eastAsiaTheme="majorEastAsia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Finally, we defined </w:t>
      </w:r>
      <w:proofErr w:type="spellStart"/>
      <w:r>
        <w:rPr>
          <w:rStyle w:val="HTMLCode"/>
          <w:rFonts w:eastAsiaTheme="majorEastAsia"/>
        </w:rPr>
        <w:t>SoftwareArtifact</w:t>
      </w:r>
      <w:proofErr w:type="spellEnd"/>
      <w:r>
        <w:rPr>
          <w:rFonts w:ascii="Segoe UI" w:hAnsi="Segoe UI" w:cs="Segoe UI"/>
          <w:sz w:val="21"/>
          <w:szCs w:val="21"/>
        </w:rPr>
        <w:t xml:space="preserve"> and the </w:t>
      </w:r>
      <w:proofErr w:type="spellStart"/>
      <w:r>
        <w:rPr>
          <w:rStyle w:val="HTMLCode"/>
          <w:rFonts w:eastAsiaTheme="majorEastAsia"/>
        </w:rPr>
        <w:t>IArtifactRepository</w:t>
      </w:r>
      <w:proofErr w:type="spellEnd"/>
      <w:r>
        <w:rPr>
          <w:rFonts w:ascii="Segoe UI" w:hAnsi="Segoe UI" w:cs="Segoe UI"/>
          <w:sz w:val="21"/>
          <w:szCs w:val="21"/>
        </w:rPr>
        <w:t xml:space="preserve"> interfaces. This version</w:t>
      </w:r>
      <w:r>
        <w:rPr>
          <w:rFonts w:ascii="Segoe UI" w:hAnsi="Segoe UI" w:cs="Segoe UI"/>
          <w:sz w:val="21"/>
          <w:szCs w:val="21"/>
        </w:rPr>
        <w:noBreakHyphen/>
        <w:t>controlled workspace securely stores generated source code, configurations, and test suites, with every artifact mathematically traceable back to the original specification through the canonical traceability model.</w:t>
      </w:r>
    </w:p>
    <w:p w14:paraId="7F7A0A74" w14:textId="77777777" w:rsidR="009A7607" w:rsidRPr="009A7607" w:rsidRDefault="009A7607" w:rsidP="009A7607"/>
    <w:sectPr w:rsidR="009A7607" w:rsidRPr="009A7607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132"/>
    <w:multiLevelType w:val="multilevel"/>
    <w:tmpl w:val="DCD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F077C"/>
    <w:multiLevelType w:val="hybridMultilevel"/>
    <w:tmpl w:val="C316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C594E"/>
    <w:multiLevelType w:val="multilevel"/>
    <w:tmpl w:val="A8D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C58C2"/>
    <w:multiLevelType w:val="multilevel"/>
    <w:tmpl w:val="8EF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91452"/>
    <w:multiLevelType w:val="multilevel"/>
    <w:tmpl w:val="90B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055CE"/>
    <w:multiLevelType w:val="multilevel"/>
    <w:tmpl w:val="531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90505">
    <w:abstractNumId w:val="5"/>
  </w:num>
  <w:num w:numId="2" w16cid:durableId="1255898368">
    <w:abstractNumId w:val="3"/>
  </w:num>
  <w:num w:numId="3" w16cid:durableId="81538284">
    <w:abstractNumId w:val="2"/>
  </w:num>
  <w:num w:numId="4" w16cid:durableId="2051763530">
    <w:abstractNumId w:val="0"/>
  </w:num>
  <w:num w:numId="5" w16cid:durableId="2082024075">
    <w:abstractNumId w:val="4"/>
  </w:num>
  <w:num w:numId="6" w16cid:durableId="85218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2C"/>
    <w:rsid w:val="0017100E"/>
    <w:rsid w:val="00223A5B"/>
    <w:rsid w:val="00307A2C"/>
    <w:rsid w:val="004F734D"/>
    <w:rsid w:val="005C2CBC"/>
    <w:rsid w:val="005F714F"/>
    <w:rsid w:val="006A7C31"/>
    <w:rsid w:val="006F3547"/>
    <w:rsid w:val="006F4208"/>
    <w:rsid w:val="007E24DF"/>
    <w:rsid w:val="0084462F"/>
    <w:rsid w:val="00970DC7"/>
    <w:rsid w:val="00984106"/>
    <w:rsid w:val="00997A3E"/>
    <w:rsid w:val="009A7607"/>
    <w:rsid w:val="00A75741"/>
    <w:rsid w:val="00C2250B"/>
    <w:rsid w:val="00C31663"/>
    <w:rsid w:val="00C65883"/>
    <w:rsid w:val="00CA38A3"/>
    <w:rsid w:val="00CD018E"/>
    <w:rsid w:val="00D5104E"/>
    <w:rsid w:val="00E77B10"/>
    <w:rsid w:val="00F2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53EC"/>
  <w15:chartTrackingRefBased/>
  <w15:docId w15:val="{DFFD0C7F-45F4-DE47-ABF5-D9D652A7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7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A2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462F"/>
    <w:rPr>
      <w:i/>
      <w:iCs/>
    </w:rPr>
  </w:style>
  <w:style w:type="character" w:styleId="Hyperlink">
    <w:name w:val="Hyperlink"/>
    <w:basedOn w:val="DefaultParagraphFont"/>
    <w:uiPriority w:val="99"/>
    <w:unhideWhenUsed/>
    <w:rsid w:val="001710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i-repos/Imhotep.Engine" TargetMode="External"/><Relationship Id="rId5" Type="http://schemas.openxmlformats.org/officeDocument/2006/relationships/hyperlink" Target="https://github.com/eci-repos/Imhotep.Specif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9</cp:revision>
  <dcterms:created xsi:type="dcterms:W3CDTF">2026-04-11T11:41:00Z</dcterms:created>
  <dcterms:modified xsi:type="dcterms:W3CDTF">2026-04-12T18:41:00Z</dcterms:modified>
</cp:coreProperties>
</file>