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07F2" w14:textId="77777777" w:rsidR="00AA14FF" w:rsidRPr="001106B9" w:rsidRDefault="00AA14FF" w:rsidP="00AA14FF">
      <w:pPr>
        <w:pStyle w:val="Title"/>
        <w:rPr>
          <w:rFonts w:ascii="Arial" w:hAnsi="Arial" w:cs="Arial"/>
          <w:sz w:val="44"/>
          <w:szCs w:val="44"/>
        </w:rPr>
      </w:pPr>
      <w:r w:rsidRPr="001106B9">
        <w:rPr>
          <w:rFonts w:ascii="Arial" w:hAnsi="Arial" w:cs="Arial"/>
          <w:sz w:val="44"/>
          <w:szCs w:val="44"/>
        </w:rPr>
        <w:t>IMHOTEP Specification Language (ISL) v1</w:t>
      </w:r>
    </w:p>
    <w:p w14:paraId="74FCB8A3" w14:textId="77777777" w:rsidR="00AA14FF" w:rsidRPr="000312CC" w:rsidRDefault="00AA14FF" w:rsidP="00AA14FF">
      <w:pPr>
        <w:pStyle w:val="Heading1"/>
        <w:spacing w:before="120" w:after="120"/>
        <w:rPr>
          <w:rFonts w:ascii="Arial" w:hAnsi="Arial" w:cs="Arial"/>
        </w:rPr>
      </w:pPr>
      <w:r>
        <w:rPr>
          <w:rFonts w:ascii="Arial" w:hAnsi="Arial" w:cs="Arial"/>
        </w:rPr>
        <w:t xml:space="preserve">ISL </w:t>
      </w:r>
      <w:r w:rsidRPr="000312CC">
        <w:rPr>
          <w:rFonts w:ascii="Arial" w:hAnsi="Arial" w:cs="Arial"/>
        </w:rPr>
        <w:t>Executive Summary</w:t>
      </w:r>
    </w:p>
    <w:p w14:paraId="1E442A5F" w14:textId="77777777" w:rsidR="00AA14FF" w:rsidRPr="000312CC" w:rsidRDefault="00AA14FF" w:rsidP="00AA14FF">
      <w:pPr>
        <w:pStyle w:val="Heading2"/>
        <w:spacing w:before="120" w:after="120"/>
        <w:rPr>
          <w:rFonts w:ascii="Arial" w:hAnsi="Arial" w:cs="Arial"/>
        </w:rPr>
      </w:pPr>
      <w:r w:rsidRPr="000312CC">
        <w:rPr>
          <w:rFonts w:ascii="Arial" w:hAnsi="Arial" w:cs="Arial"/>
        </w:rPr>
        <w:t xml:space="preserve">IMHOTEP Specification Language (ISL) </w:t>
      </w:r>
      <w:r w:rsidRPr="004B22EA">
        <w:rPr>
          <w:rFonts w:ascii="Arial" w:hAnsi="Arial" w:cs="Arial"/>
          <w:b/>
          <w:bCs/>
        </w:rPr>
        <w:t>v1.0 – v1.7</w:t>
      </w:r>
    </w:p>
    <w:p w14:paraId="381A3A61"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rPr>
        <w:t>The IMHOTEP project establishes a structured framework for autonomous software construction by defining a formal language and operational model through which software systems can be specified, planned, constructed, verified, and governed. The work completed in ISL v1.0 through v1.7 forms the foundational layer of this framework. These sections collectively define how human intent is expressed, how the platform interprets that intent, and how the resulting system is constructed under controlled and auditable conditions.</w:t>
      </w:r>
    </w:p>
    <w:p w14:paraId="613E7A19"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rPr>
        <w:t>The IMHOTEP Specification Language (ISL) was first introduced in v1.0 as the primary mechanism for describing systems in a form that can be understood by both humans and machines. ISL defines the blueprint from which the IMHOTEP platform constructs software systems. Rather than focusing on manual code creation, ISL enables planners, analysts, architects, engineers, and other domain professionals to describe systems through structured specifications that express business objectives, system behavior, architecture, policies, and operational expectations.</w:t>
      </w:r>
    </w:p>
    <w:p w14:paraId="34DEE946"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v1.1</w:t>
      </w:r>
      <w:r w:rsidRPr="000312CC">
        <w:rPr>
          <w:rFonts w:ascii="Arial" w:hAnsi="Arial" w:cs="Arial"/>
        </w:rPr>
        <w:t xml:space="preserve"> introduced the Canonical Semantic Model, which establishes the formal internal representation used by the platform to interpret specifications. This model defines the core entities of a system—such as projects, requirements, capabilities, services, workflows, data entities, interfaces, policies, and infrastructure. By normalizing all specifications into this canonical structure, the platform ensures that every system blueprint can be interpreted consistently regardless of the format in which it was authored.</w:t>
      </w:r>
    </w:p>
    <w:p w14:paraId="66A7F440"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v1.2</w:t>
      </w:r>
      <w:r w:rsidRPr="000312CC">
        <w:rPr>
          <w:rFonts w:ascii="Arial" w:hAnsi="Arial" w:cs="Arial"/>
        </w:rPr>
        <w:t xml:space="preserve"> defined the Execution Model, describing how the IMHOTEP engine interprets the canonical specification and transforms it into an autonomous construction process. This model outlines how the platform plans development tasks, orchestrates reasoning components, generates artifacts, performs verification loops, and prepares systems for deployment. The execution model effectively translates the architectural blueprint into a coordinated development workflow.</w:t>
      </w:r>
    </w:p>
    <w:p w14:paraId="54522293"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v1.3</w:t>
      </w:r>
      <w:r w:rsidRPr="000312CC">
        <w:rPr>
          <w:rFonts w:ascii="Arial" w:hAnsi="Arial" w:cs="Arial"/>
        </w:rPr>
        <w:t xml:space="preserve"> introduced Specification Readiness Levels, which provide a governance mechanism for controlling when autonomous construction may begin. Specifications evolve through stages—Draft, Reviewable, Machine-Valid, and Autonomous-Ready—ensuring that systems are only constructed once their blueprint has reached a sufficient level of completeness and validation. This lifecycle supports structured collaboration among stakeholders while preventing premature execution.</w:t>
      </w:r>
    </w:p>
    <w:p w14:paraId="6E054DBF"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v1.4</w:t>
      </w:r>
      <w:r w:rsidRPr="000312CC">
        <w:rPr>
          <w:rFonts w:ascii="Arial" w:hAnsi="Arial" w:cs="Arial"/>
        </w:rPr>
        <w:t xml:space="preserve"> established the Traceability Model, which ensures that every artifact produced by the platform can be traced back to the specification elements that defined it. This model creates a traceability graph linking requirements, architecture, generated code, tests, infrastructure definitions, and deployment artifacts. Traceability supports impact </w:t>
      </w:r>
      <w:r w:rsidRPr="000312CC">
        <w:rPr>
          <w:rFonts w:ascii="Arial" w:hAnsi="Arial" w:cs="Arial"/>
        </w:rPr>
        <w:lastRenderedPageBreak/>
        <w:t>analysis, debugging, auditing, and long-term system evolution while preserving alignment between the blueprint and the constructed system.</w:t>
      </w:r>
    </w:p>
    <w:p w14:paraId="5C848B40"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v1.5</w:t>
      </w:r>
      <w:r w:rsidRPr="000312CC">
        <w:rPr>
          <w:rFonts w:ascii="Arial" w:hAnsi="Arial" w:cs="Arial"/>
        </w:rPr>
        <w:t xml:space="preserve"> introduced the Construction Planning Model, which defines how the platform converts the specification graph into a task graph representing the system’s construction plan. The planning model generates development tasks, resolves dependencies, enables parallel execution, and manages repair cycles when verification steps detect issues. This model acts as the operational engine that orchestrates the autonomous development lifecycle.</w:t>
      </w:r>
    </w:p>
    <w:p w14:paraId="63DF019F"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v1.6</w:t>
      </w:r>
      <w:r w:rsidRPr="000312CC">
        <w:rPr>
          <w:rFonts w:ascii="Arial" w:hAnsi="Arial" w:cs="Arial"/>
        </w:rPr>
        <w:t xml:space="preserve"> defined the Tool Integration Model, establishing how the IMHOTEP platform interacts with deterministic engineering tools such as compilers, testing frameworks, security scanners, infrastructure managers, and CI/CD pipelines. These integrations ensure that autonomous construction remains grounded in established software engineering practices and that generated systems are validated through objective tooling.</w:t>
      </w:r>
    </w:p>
    <w:p w14:paraId="7D4E15C3"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v1.7</w:t>
      </w:r>
      <w:r w:rsidRPr="000312CC">
        <w:rPr>
          <w:rFonts w:ascii="Arial" w:hAnsi="Arial" w:cs="Arial"/>
        </w:rPr>
        <w:t xml:space="preserve"> completed the initial governance framework through the Governance and Control Model. This section defines how organizational policies, approval gates, risk management practices, and oversight roles regulate the autonomous development process. Governance mechanisms ensure that the platform operates within organizational, regulatory, and security constraints while maintaining transparency and accountability.</w:t>
      </w:r>
    </w:p>
    <w:p w14:paraId="37A5D459"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rPr>
        <w:t xml:space="preserve">Together, </w:t>
      </w:r>
      <w:r w:rsidRPr="004B22EA">
        <w:rPr>
          <w:rFonts w:ascii="Arial" w:hAnsi="Arial" w:cs="Arial"/>
          <w:b/>
          <w:bCs/>
        </w:rPr>
        <w:t xml:space="preserve">ISL v1.0 </w:t>
      </w:r>
      <w:r w:rsidRPr="000312CC">
        <w:rPr>
          <w:rFonts w:ascii="Arial" w:hAnsi="Arial" w:cs="Arial"/>
        </w:rPr>
        <w:t xml:space="preserve">through </w:t>
      </w:r>
      <w:r w:rsidRPr="004B22EA">
        <w:rPr>
          <w:rFonts w:ascii="Arial" w:hAnsi="Arial" w:cs="Arial"/>
          <w:b/>
          <w:bCs/>
        </w:rPr>
        <w:t>v1.7</w:t>
      </w:r>
      <w:r w:rsidRPr="000312CC">
        <w:rPr>
          <w:rFonts w:ascii="Arial" w:hAnsi="Arial" w:cs="Arial"/>
        </w:rPr>
        <w:t xml:space="preserve"> establish the conceptual and operational foundation of the IMHOTEP platform. They define the specification language, semantic structure, execution processes, governance mechanisms, traceability framework, planning model, and tool integrations required to enable autonomous software construction. With these foundational elements in place, the next phase of the IMHOTEP architecture will focus on defining the platform implementation itself, beginning with the architecture of the engines and subsystems that will execute this model in practice.</w:t>
      </w:r>
    </w:p>
    <w:p w14:paraId="6FD03392" w14:textId="77777777" w:rsidR="00AA14FF" w:rsidRDefault="00AA14FF" w:rsidP="00AA14FF"/>
    <w:p w14:paraId="21574EB1" w14:textId="77777777" w:rsidR="00AA14FF" w:rsidRDefault="00AA14FF" w:rsidP="00AA14FF">
      <w:pPr>
        <w:pStyle w:val="Heading1"/>
      </w:pPr>
    </w:p>
    <w:p w14:paraId="6D745BB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FF"/>
    <w:rsid w:val="00223A5B"/>
    <w:rsid w:val="005F714F"/>
    <w:rsid w:val="006A7C31"/>
    <w:rsid w:val="006F4208"/>
    <w:rsid w:val="00984106"/>
    <w:rsid w:val="00997A3E"/>
    <w:rsid w:val="00AA14FF"/>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F17A01"/>
  <w15:chartTrackingRefBased/>
  <w15:docId w15:val="{E8C31206-288C-C144-94AE-7EC0661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4FF"/>
  </w:style>
  <w:style w:type="paragraph" w:styleId="Heading1">
    <w:name w:val="heading 1"/>
    <w:basedOn w:val="Normal"/>
    <w:next w:val="Normal"/>
    <w:link w:val="Heading1Char"/>
    <w:uiPriority w:val="9"/>
    <w:qFormat/>
    <w:rsid w:val="00AA1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1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1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4FF"/>
    <w:rPr>
      <w:rFonts w:eastAsiaTheme="majorEastAsia" w:cstheme="majorBidi"/>
      <w:color w:val="272727" w:themeColor="text1" w:themeTint="D8"/>
    </w:rPr>
  </w:style>
  <w:style w:type="paragraph" w:styleId="Title">
    <w:name w:val="Title"/>
    <w:basedOn w:val="Normal"/>
    <w:next w:val="Normal"/>
    <w:link w:val="TitleChar"/>
    <w:uiPriority w:val="10"/>
    <w:qFormat/>
    <w:rsid w:val="00AA1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4FF"/>
    <w:pPr>
      <w:spacing w:before="160"/>
      <w:jc w:val="center"/>
    </w:pPr>
    <w:rPr>
      <w:i/>
      <w:iCs/>
      <w:color w:val="404040" w:themeColor="text1" w:themeTint="BF"/>
    </w:rPr>
  </w:style>
  <w:style w:type="character" w:customStyle="1" w:styleId="QuoteChar">
    <w:name w:val="Quote Char"/>
    <w:basedOn w:val="DefaultParagraphFont"/>
    <w:link w:val="Quote"/>
    <w:uiPriority w:val="29"/>
    <w:rsid w:val="00AA14FF"/>
    <w:rPr>
      <w:i/>
      <w:iCs/>
      <w:color w:val="404040" w:themeColor="text1" w:themeTint="BF"/>
    </w:rPr>
  </w:style>
  <w:style w:type="paragraph" w:styleId="ListParagraph">
    <w:name w:val="List Paragraph"/>
    <w:basedOn w:val="Normal"/>
    <w:uiPriority w:val="34"/>
    <w:qFormat/>
    <w:rsid w:val="00AA14FF"/>
    <w:pPr>
      <w:ind w:left="720"/>
      <w:contextualSpacing/>
    </w:pPr>
  </w:style>
  <w:style w:type="character" w:styleId="IntenseEmphasis">
    <w:name w:val="Intense Emphasis"/>
    <w:basedOn w:val="DefaultParagraphFont"/>
    <w:uiPriority w:val="21"/>
    <w:qFormat/>
    <w:rsid w:val="00AA14FF"/>
    <w:rPr>
      <w:i/>
      <w:iCs/>
      <w:color w:val="0F4761" w:themeColor="accent1" w:themeShade="BF"/>
    </w:rPr>
  </w:style>
  <w:style w:type="paragraph" w:styleId="IntenseQuote">
    <w:name w:val="Intense Quote"/>
    <w:basedOn w:val="Normal"/>
    <w:next w:val="Normal"/>
    <w:link w:val="IntenseQuoteChar"/>
    <w:uiPriority w:val="30"/>
    <w:qFormat/>
    <w:rsid w:val="00AA1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4FF"/>
    <w:rPr>
      <w:i/>
      <w:iCs/>
      <w:color w:val="0F4761" w:themeColor="accent1" w:themeShade="BF"/>
    </w:rPr>
  </w:style>
  <w:style w:type="character" w:styleId="IntenseReference">
    <w:name w:val="Intense Reference"/>
    <w:basedOn w:val="DefaultParagraphFont"/>
    <w:uiPriority w:val="32"/>
    <w:qFormat/>
    <w:rsid w:val="00AA14FF"/>
    <w:rPr>
      <w:b/>
      <w:bCs/>
      <w:smallCaps/>
      <w:color w:val="0F4761" w:themeColor="accent1" w:themeShade="BF"/>
      <w:spacing w:val="5"/>
    </w:rPr>
  </w:style>
  <w:style w:type="paragraph" w:styleId="NormalWeb">
    <w:name w:val="Normal (Web)"/>
    <w:basedOn w:val="Normal"/>
    <w:uiPriority w:val="99"/>
    <w:semiHidden/>
    <w:unhideWhenUsed/>
    <w:rsid w:val="00AA14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2026-03-18T18:37:00Z</dcterms:created>
  <dcterms:modified xsi:type="dcterms:W3CDTF">2026-03-18T18:37:00Z</dcterms:modified>
</cp:coreProperties>
</file>