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E7CDB" w14:textId="77777777" w:rsidR="005C1B95" w:rsidRPr="00DF7A2E" w:rsidRDefault="005C1B95" w:rsidP="005C1B95">
      <w:pPr>
        <w:pStyle w:val="Title"/>
        <w:rPr>
          <w:sz w:val="44"/>
          <w:szCs w:val="44"/>
        </w:rPr>
      </w:pPr>
      <w:r w:rsidRPr="00DF7A2E">
        <w:rPr>
          <w:sz w:val="44"/>
          <w:szCs w:val="44"/>
        </w:rPr>
        <w:t>IMHOTEP Specification Language (ISL) v3.10</w:t>
      </w:r>
    </w:p>
    <w:p w14:paraId="623892AE" w14:textId="77777777" w:rsidR="005C1B95" w:rsidRPr="00DF7A2E" w:rsidRDefault="005C1B95" w:rsidP="005C1B95">
      <w:pPr>
        <w:pStyle w:val="Heading1"/>
        <w:spacing w:before="0" w:after="120"/>
        <w:rPr>
          <w:rFonts w:ascii="Arial" w:hAnsi="Arial" w:cs="Arial"/>
        </w:rPr>
      </w:pPr>
      <w:r w:rsidRPr="00DF7A2E">
        <w:rPr>
          <w:rFonts w:ascii="Arial" w:hAnsi="Arial" w:cs="Arial"/>
        </w:rPr>
        <w:t>ISL v3.10 The Platform Security Architecture</w:t>
      </w:r>
    </w:p>
    <w:p w14:paraId="2F601519" w14:textId="77777777" w:rsidR="005C1B95" w:rsidRPr="00DF7A2E" w:rsidRDefault="005C1B95" w:rsidP="005C1B95">
      <w:pPr>
        <w:pStyle w:val="Heading2"/>
        <w:spacing w:before="0" w:after="120"/>
        <w:rPr>
          <w:rFonts w:ascii="Arial" w:hAnsi="Arial" w:cs="Arial"/>
        </w:rPr>
      </w:pPr>
      <w:r w:rsidRPr="00DF7A2E">
        <w:rPr>
          <w:rFonts w:ascii="Arial" w:hAnsi="Arial" w:cs="Arial"/>
        </w:rPr>
        <w:t>1.0 Purpose of the Platform Security Architecture</w:t>
      </w:r>
    </w:p>
    <w:p w14:paraId="14162B8A"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Platform Security Architecture defines the mechanisms through which the IMHOTEP platform protects the integrity, confidentiality, and reliability of the autonomous software construction process. Because the platform integrates reasoning agents, deterministic engineering tools, artifact repositories, and external model providers, it must enforce strong security boundaries to ensure that autonomous development activities do not introduce risk.</w:t>
      </w:r>
    </w:p>
    <w:p w14:paraId="3190FD3D"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purpose of this architecture is to establish a framework that governs how data flows through the platform, how external systems are invoked, and how generated artifacts are validated before they are accepted into the system.</w:t>
      </w:r>
    </w:p>
    <w:p w14:paraId="224FD82A"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Through these mechanisms, IMHOTEP ensures that autonomy does not compromise safety or compliance.</w:t>
      </w:r>
    </w:p>
    <w:p w14:paraId="6C249647" w14:textId="77777777" w:rsidR="005C1B95" w:rsidRPr="00DF7A2E" w:rsidRDefault="005C1B95" w:rsidP="005C1B95">
      <w:pPr>
        <w:pStyle w:val="Heading2"/>
        <w:spacing w:before="0" w:after="120"/>
        <w:rPr>
          <w:rFonts w:ascii="Arial" w:hAnsi="Arial" w:cs="Arial"/>
        </w:rPr>
      </w:pPr>
      <w:r w:rsidRPr="00DF7A2E">
        <w:rPr>
          <w:rFonts w:ascii="Arial" w:hAnsi="Arial" w:cs="Arial"/>
        </w:rPr>
        <w:t>2.0 Security Principles</w:t>
      </w:r>
    </w:p>
    <w:p w14:paraId="52A60586"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security architecture of IMHOTEP is guided by several fundamental principles.</w:t>
      </w:r>
    </w:p>
    <w:p w14:paraId="462EB687"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 xml:space="preserve">First, the platform follows a </w:t>
      </w:r>
      <w:r w:rsidRPr="00DF7A2E">
        <w:rPr>
          <w:rStyle w:val="Strong"/>
          <w:rFonts w:ascii="Arial" w:hAnsi="Arial" w:cs="Arial"/>
        </w:rPr>
        <w:t>zero-trust interaction model</w:t>
      </w:r>
      <w:r w:rsidRPr="00DF7A2E">
        <w:rPr>
          <w:rFonts w:ascii="Arial" w:hAnsi="Arial" w:cs="Arial"/>
        </w:rPr>
        <w:t>, meaning that no component—whether internal or external—is assumed to be trustworthy without verification.</w:t>
      </w:r>
    </w:p>
    <w:p w14:paraId="091D328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Second, all interactions between agents, tools, models, and repositories must occur through controlled interfaces defined by the platform.</w:t>
      </w:r>
    </w:p>
    <w:p w14:paraId="40277A6C"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 xml:space="preserve">Third, the platform enforces </w:t>
      </w:r>
      <w:r w:rsidRPr="00DF7A2E">
        <w:rPr>
          <w:rStyle w:val="Strong"/>
          <w:rFonts w:ascii="Arial" w:hAnsi="Arial" w:cs="Arial"/>
        </w:rPr>
        <w:t>defense in depth</w:t>
      </w:r>
      <w:r w:rsidRPr="00DF7A2E">
        <w:rPr>
          <w:rFonts w:ascii="Arial" w:hAnsi="Arial" w:cs="Arial"/>
        </w:rPr>
        <w:t>, ensuring that multiple layers of security mechanisms protect the system from unintended behavior or malicious input.</w:t>
      </w:r>
    </w:p>
    <w:p w14:paraId="459048DE"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 xml:space="preserve">Finally, every security-relevant event must be </w:t>
      </w:r>
      <w:r w:rsidRPr="00DF7A2E">
        <w:rPr>
          <w:rStyle w:val="Strong"/>
          <w:rFonts w:ascii="Arial" w:hAnsi="Arial" w:cs="Arial"/>
        </w:rPr>
        <w:t>traceable and auditable</w:t>
      </w:r>
      <w:r w:rsidRPr="00DF7A2E">
        <w:rPr>
          <w:rFonts w:ascii="Arial" w:hAnsi="Arial" w:cs="Arial"/>
        </w:rPr>
        <w:t xml:space="preserve"> so that administrators can understand how the system behaves during construction workflows.</w:t>
      </w:r>
    </w:p>
    <w:p w14:paraId="4B483900"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These principles provide the foundation for secure autonomous development.</w:t>
      </w:r>
    </w:p>
    <w:p w14:paraId="2CBF925D" w14:textId="77777777" w:rsidR="005C1B95" w:rsidRPr="00DF7A2E" w:rsidRDefault="005C1B95" w:rsidP="005C1B95">
      <w:pPr>
        <w:pStyle w:val="Heading2"/>
        <w:spacing w:before="0" w:after="120"/>
        <w:rPr>
          <w:rFonts w:ascii="Arial" w:hAnsi="Arial" w:cs="Arial"/>
        </w:rPr>
      </w:pPr>
      <w:r w:rsidRPr="00DF7A2E">
        <w:rPr>
          <w:rFonts w:ascii="Arial" w:hAnsi="Arial" w:cs="Arial"/>
        </w:rPr>
        <w:t>3.0 Security Domains</w:t>
      </w:r>
    </w:p>
    <w:p w14:paraId="4C5EB9B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IMHOTEP platform divides its operational environment into several security domains, each representing a controlled boundary for specific types of activity.</w:t>
      </w:r>
    </w:p>
    <w:p w14:paraId="6906DF8B"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primary domains include the reasoning domain, the tool execution domain, the artifact repository domain, the model interaction domain, and the governance domain.</w:t>
      </w:r>
    </w:p>
    <w:p w14:paraId="47BAB754"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Each domain has defined access rules and operational constraints. Communication between domains occurs only through the controlled interfaces defined by the platform architecture.</w:t>
      </w:r>
    </w:p>
    <w:p w14:paraId="6117F791"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domain separation reduces the risk that failures or malicious inputs in one subsystem will propagate across the platform.</w:t>
      </w:r>
    </w:p>
    <w:p w14:paraId="6F815EA6" w14:textId="77777777" w:rsidR="005C1B95" w:rsidRPr="00DF7A2E" w:rsidRDefault="005C1B95" w:rsidP="005C1B95">
      <w:pPr>
        <w:pStyle w:val="Heading2"/>
        <w:spacing w:before="0" w:after="120"/>
        <w:rPr>
          <w:rFonts w:ascii="Arial" w:hAnsi="Arial" w:cs="Arial"/>
        </w:rPr>
      </w:pPr>
      <w:r w:rsidRPr="00DF7A2E">
        <w:rPr>
          <w:rFonts w:ascii="Arial" w:hAnsi="Arial" w:cs="Arial"/>
        </w:rPr>
        <w:lastRenderedPageBreak/>
        <w:t>4.0 Model Interaction Security</w:t>
      </w:r>
    </w:p>
    <w:p w14:paraId="5118F280"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Interactions with AI models represent a significant security consideration because they involve reasoning systems that interpret contextual information provided by the platform.</w:t>
      </w:r>
    </w:p>
    <w:p w14:paraId="451BFD6E"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platform ensures that model requests are sanitized and validated before being transmitted to external or local model providers. Sensitive information may be filtered or masked according to governance policies before it is included in the context of a model request.</w:t>
      </w:r>
    </w:p>
    <w:p w14:paraId="5DD6322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Responses produced by models are never accepted directly into the system without validation. The platform verifies that outputs conform to structured contracts and performs deterministic validation before integrating them into the construction workflow.</w:t>
      </w:r>
    </w:p>
    <w:p w14:paraId="7D4E45FF"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These controls protect the platform from unexpected model behavior or malicious prompt injection attempts.</w:t>
      </w:r>
    </w:p>
    <w:p w14:paraId="3EE04D4F" w14:textId="77777777" w:rsidR="005C1B95" w:rsidRPr="00DF7A2E" w:rsidRDefault="005C1B95" w:rsidP="005C1B95">
      <w:pPr>
        <w:pStyle w:val="Heading2"/>
        <w:spacing w:before="0" w:after="120"/>
        <w:rPr>
          <w:rFonts w:ascii="Arial" w:hAnsi="Arial" w:cs="Arial"/>
        </w:rPr>
      </w:pPr>
      <w:r w:rsidRPr="00DF7A2E">
        <w:rPr>
          <w:rFonts w:ascii="Arial" w:hAnsi="Arial" w:cs="Arial"/>
        </w:rPr>
        <w:t>5.0 Prompt Integrity and Injection Protection</w:t>
      </w:r>
    </w:p>
    <w:p w14:paraId="3E02AB56"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platform protects against prompt injection and context manipulation by maintaining strict control over how prompts are assembled. Agents cannot arbitrarily introduce external context into model interactions without passing through the protocol validation layer.</w:t>
      </w:r>
    </w:p>
    <w:p w14:paraId="0773E1B4"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Context elements included in model requests are selected by the runtime according to predefined rules, and the resulting requests are validated against the Model Interaction Protocol.</w:t>
      </w:r>
    </w:p>
    <w:p w14:paraId="03A6799B"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controlled prompt assembly process prevents external inputs from altering the reasoning behavior of the system in unintended ways.</w:t>
      </w:r>
    </w:p>
    <w:p w14:paraId="2493E02A" w14:textId="77777777" w:rsidR="005C1B95" w:rsidRPr="00DF7A2E" w:rsidRDefault="005C1B95" w:rsidP="005C1B95">
      <w:pPr>
        <w:pStyle w:val="Heading2"/>
        <w:spacing w:before="0" w:after="120"/>
        <w:rPr>
          <w:rFonts w:ascii="Arial" w:hAnsi="Arial" w:cs="Arial"/>
        </w:rPr>
      </w:pPr>
      <w:r w:rsidRPr="00DF7A2E">
        <w:rPr>
          <w:rFonts w:ascii="Arial" w:hAnsi="Arial" w:cs="Arial"/>
        </w:rPr>
        <w:t>6.0 Tool Execution Security</w:t>
      </w:r>
    </w:p>
    <w:p w14:paraId="580B6F37"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External engineering tools invoked by the platform operate within controlled execution environments defined by the Tool Plugin Architecture. These environments restrict access to system resources and ensure that tool execution cannot compromise the integrity of the platform.</w:t>
      </w:r>
    </w:p>
    <w:p w14:paraId="49B68784"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Tool plugins may execute within sandboxed processes or containerized environments that limit file system access, network communication, and system privileges.</w:t>
      </w:r>
    </w:p>
    <w:p w14:paraId="7A79BA6D"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These safeguards ensure that even trusted engineering tools operate within clearly defined security boundaries.</w:t>
      </w:r>
    </w:p>
    <w:p w14:paraId="2AF1E1E2" w14:textId="77777777" w:rsidR="005C1B95" w:rsidRPr="00DF7A2E" w:rsidRDefault="005C1B95" w:rsidP="005C1B95">
      <w:pPr>
        <w:pStyle w:val="Heading2"/>
        <w:spacing w:before="0" w:after="120"/>
        <w:rPr>
          <w:rFonts w:ascii="Arial" w:hAnsi="Arial" w:cs="Arial"/>
        </w:rPr>
      </w:pPr>
      <w:r w:rsidRPr="00DF7A2E">
        <w:rPr>
          <w:rFonts w:ascii="Arial" w:hAnsi="Arial" w:cs="Arial"/>
        </w:rPr>
        <w:t>7.0 Artifact Integrity and Validation</w:t>
      </w:r>
    </w:p>
    <w:p w14:paraId="1C735F5D"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Artifacts generated by reasoning agents must undergo deterministic validation before they are accepted into the artifact repository. This validation process ensures that generated artifacts comply with programming language rules, security standards, and organizational policies.</w:t>
      </w:r>
    </w:p>
    <w:p w14:paraId="111E3879"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Validation may include compilation checks, static analysis, security scanning, dependency verification, and policy compliance checks.</w:t>
      </w:r>
    </w:p>
    <w:p w14:paraId="4F692A96"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lastRenderedPageBreak/>
        <w:t xml:space="preserve">Only artifacts that pass </w:t>
      </w:r>
      <w:proofErr w:type="gramStart"/>
      <w:r w:rsidRPr="00DF7A2E">
        <w:rPr>
          <w:rFonts w:ascii="Arial" w:hAnsi="Arial" w:cs="Arial"/>
        </w:rPr>
        <w:t>these validation</w:t>
      </w:r>
      <w:proofErr w:type="gramEnd"/>
      <w:r w:rsidRPr="00DF7A2E">
        <w:rPr>
          <w:rFonts w:ascii="Arial" w:hAnsi="Arial" w:cs="Arial"/>
        </w:rPr>
        <w:t xml:space="preserve"> steps are considered valid outputs of the construction process.</w:t>
      </w:r>
    </w:p>
    <w:p w14:paraId="109391EA"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approach ensures that the artifact repository contains only trustworthy and verified materials.</w:t>
      </w:r>
    </w:p>
    <w:p w14:paraId="0851742F" w14:textId="77777777" w:rsidR="005C1B95" w:rsidRPr="00DF7A2E" w:rsidRDefault="005C1B95" w:rsidP="005C1B95">
      <w:pPr>
        <w:pStyle w:val="Heading2"/>
        <w:spacing w:before="0" w:after="120"/>
        <w:rPr>
          <w:rFonts w:ascii="Arial" w:hAnsi="Arial" w:cs="Arial"/>
        </w:rPr>
      </w:pPr>
      <w:r w:rsidRPr="00DF7A2E">
        <w:rPr>
          <w:rFonts w:ascii="Arial" w:hAnsi="Arial" w:cs="Arial"/>
        </w:rPr>
        <w:t>8.0 Supply Chain Protection</w:t>
      </w:r>
    </w:p>
    <w:p w14:paraId="37E2EF10"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Modern software development environments face increasing risks associated with supply chain vulnerabilities. The IMHOTEP platform addresses these risks by validating dependencies and build artifacts generated during the construction process.</w:t>
      </w:r>
    </w:p>
    <w:p w14:paraId="17FA174D"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Dependency management tools may verify the origin and integrity of external libraries used within generated systems. Artifact packaging processes may include signature verification and vulnerability scanning.</w:t>
      </w:r>
    </w:p>
    <w:p w14:paraId="705C9A52"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These protections ensure that the systems produced by the platform remain secure throughout the development lifecycle.</w:t>
      </w:r>
    </w:p>
    <w:p w14:paraId="2B992238" w14:textId="77777777" w:rsidR="005C1B95" w:rsidRPr="00DF7A2E" w:rsidRDefault="005C1B95" w:rsidP="005C1B95">
      <w:pPr>
        <w:pStyle w:val="Heading2"/>
        <w:spacing w:before="0" w:after="120"/>
        <w:rPr>
          <w:rFonts w:ascii="Arial" w:hAnsi="Arial" w:cs="Arial"/>
        </w:rPr>
      </w:pPr>
      <w:r w:rsidRPr="00DF7A2E">
        <w:rPr>
          <w:rFonts w:ascii="Arial" w:hAnsi="Arial" w:cs="Arial"/>
        </w:rPr>
        <w:t>9.0 Access Control and Identity Management</w:t>
      </w:r>
    </w:p>
    <w:p w14:paraId="2CC27D8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platform integrates with identity and access management systems to control who may interact with the platform and what actions they are permitted to perform.</w:t>
      </w:r>
    </w:p>
    <w:p w14:paraId="3C55C2C9"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Different roles within the system—such as administrators, specification authors, reviewers, and operators—may be granted different levels of access to platform capabilities.</w:t>
      </w:r>
    </w:p>
    <w:p w14:paraId="411E7BB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Access control mechanisms ensure that only authorized users can modify specifications, approve governance decisions, or interact with operational components of the platform.</w:t>
      </w:r>
    </w:p>
    <w:p w14:paraId="497C6455"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identity management framework is essential for enterprise deployment.</w:t>
      </w:r>
    </w:p>
    <w:p w14:paraId="4421F6B5" w14:textId="77777777" w:rsidR="005C1B95" w:rsidRPr="00DF7A2E" w:rsidRDefault="005C1B95" w:rsidP="005C1B95">
      <w:pPr>
        <w:pStyle w:val="Heading2"/>
        <w:spacing w:before="0" w:after="120"/>
        <w:rPr>
          <w:rFonts w:ascii="Arial" w:hAnsi="Arial" w:cs="Arial"/>
        </w:rPr>
      </w:pPr>
      <w:r w:rsidRPr="00DF7A2E">
        <w:rPr>
          <w:rFonts w:ascii="Arial" w:hAnsi="Arial" w:cs="Arial"/>
        </w:rPr>
        <w:t>10.0 Data Protection</w:t>
      </w:r>
    </w:p>
    <w:p w14:paraId="660251D2"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Sensitive data handled by the platform must be protected both in transit and at rest. Communication between platform components may use encrypted channels to prevent unauthorized interception of data.</w:t>
      </w:r>
    </w:p>
    <w:p w14:paraId="0209DDDA"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Persistent storage systems used for specifications, artifacts, telemetry, and traceability records may employ encryption and access control mechanisms to protect stored data.</w:t>
      </w:r>
    </w:p>
    <w:p w14:paraId="4F90B1A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Data protection measures ensure that the information managed by the platform remains secure throughout its lifecycle.</w:t>
      </w:r>
    </w:p>
    <w:p w14:paraId="7CFB91F4" w14:textId="77777777" w:rsidR="005C1B95" w:rsidRPr="00DF7A2E" w:rsidRDefault="005C1B95" w:rsidP="005C1B95">
      <w:pPr>
        <w:pStyle w:val="Heading2"/>
        <w:spacing w:before="0" w:after="120"/>
        <w:rPr>
          <w:rFonts w:ascii="Arial" w:hAnsi="Arial" w:cs="Arial"/>
        </w:rPr>
      </w:pPr>
      <w:r w:rsidRPr="00DF7A2E">
        <w:rPr>
          <w:rFonts w:ascii="Arial" w:hAnsi="Arial" w:cs="Arial"/>
        </w:rPr>
        <w:t>11.0 Runtime Isolation</w:t>
      </w:r>
    </w:p>
    <w:p w14:paraId="5A1B4961"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To maintain system stability and security, different runtime components of the IMHOTEP platform may operate within isolated execution environments. Agents, tool plugins, and runtime services may be deployed in separate processes or containers to prevent interference between components.</w:t>
      </w:r>
    </w:p>
    <w:p w14:paraId="63DB054C"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lastRenderedPageBreak/>
        <w:t>Isolation ensures that faults or unexpected behavior in one component do not compromise the stability of the entire system.</w:t>
      </w:r>
    </w:p>
    <w:p w14:paraId="64672680"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isolation model also simplifies the enforcement of security policies across platform subsystems.</w:t>
      </w:r>
    </w:p>
    <w:p w14:paraId="643CD9EF" w14:textId="77777777" w:rsidR="005C1B95" w:rsidRPr="00DF7A2E" w:rsidRDefault="005C1B95" w:rsidP="005C1B95">
      <w:pPr>
        <w:pStyle w:val="Heading2"/>
        <w:spacing w:before="0" w:after="120"/>
        <w:rPr>
          <w:rFonts w:ascii="Arial" w:hAnsi="Arial" w:cs="Arial"/>
        </w:rPr>
      </w:pPr>
      <w:r w:rsidRPr="00DF7A2E">
        <w:rPr>
          <w:rFonts w:ascii="Arial" w:hAnsi="Arial" w:cs="Arial"/>
        </w:rPr>
        <w:t>12.0 Monitoring and Threat Detection</w:t>
      </w:r>
    </w:p>
    <w:p w14:paraId="0D81931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observability framework defined earlier in the specification contributes to the platform’s security architecture by providing telemetry that can be analyzed for suspicious activity.</w:t>
      </w:r>
    </w:p>
    <w:p w14:paraId="3EF3ECEF"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Monitoring systems may detect abnormal patterns such as repeated tool failures, unexpected model responses, unauthorized access attempts, or anomalous execution behavior.</w:t>
      </w:r>
    </w:p>
    <w:p w14:paraId="2ED56D09"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These detection mechanisms allow administrators to respond quickly to potential security incidents.</w:t>
      </w:r>
    </w:p>
    <w:p w14:paraId="4CC4AE70" w14:textId="77777777" w:rsidR="005C1B95" w:rsidRPr="00DF7A2E" w:rsidRDefault="005C1B95" w:rsidP="005C1B95">
      <w:pPr>
        <w:pStyle w:val="Heading2"/>
        <w:spacing w:before="0" w:after="120"/>
        <w:rPr>
          <w:rFonts w:ascii="Arial" w:hAnsi="Arial" w:cs="Arial"/>
        </w:rPr>
      </w:pPr>
      <w:r w:rsidRPr="00DF7A2E">
        <w:rPr>
          <w:rFonts w:ascii="Arial" w:hAnsi="Arial" w:cs="Arial"/>
        </w:rPr>
        <w:t>13.0 Governance and Policy Enforcement</w:t>
      </w:r>
    </w:p>
    <w:p w14:paraId="3064D30F"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Security policies defined within the governance framework influence how the platform operates. Governance rules may restrict the use of external models, require approval for certain construction activities, or enforce compliance checks before artifacts are deployed.</w:t>
      </w:r>
    </w:p>
    <w:p w14:paraId="2701AE28"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runtime orchestration system integrates with the governance service to enforce these policies during task execution.</w:t>
      </w:r>
    </w:p>
    <w:p w14:paraId="068307DB"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integration ensures that autonomous development activities remain compliant with organizational standards and regulatory requirements.</w:t>
      </w:r>
    </w:p>
    <w:p w14:paraId="6BD10F6F" w14:textId="77777777" w:rsidR="005C1B95" w:rsidRPr="00DF7A2E" w:rsidRDefault="005C1B95" w:rsidP="005C1B95">
      <w:pPr>
        <w:pStyle w:val="Heading2"/>
        <w:spacing w:before="0" w:after="120"/>
        <w:rPr>
          <w:rFonts w:ascii="Arial" w:hAnsi="Arial" w:cs="Arial"/>
        </w:rPr>
      </w:pPr>
      <w:r w:rsidRPr="00DF7A2E">
        <w:rPr>
          <w:rFonts w:ascii="Arial" w:hAnsi="Arial" w:cs="Arial"/>
        </w:rPr>
        <w:t>14.0 Security Auditing and Traceability</w:t>
      </w:r>
    </w:p>
    <w:p w14:paraId="4E49FBFA"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All security-relevant activities within the platform are recorded by the traceability and observability systems. These records include model interactions, tool invocations, artifact validation events, and governance decisions.</w:t>
      </w:r>
    </w:p>
    <w:p w14:paraId="075479F8"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Audit records allow administrators to reconstruct the history of construction activities and evaluate whether security policies were followed during system generation.</w:t>
      </w:r>
    </w:p>
    <w:p w14:paraId="4ED7D1E5"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traceability supports both internal review and regulatory compliance.</w:t>
      </w:r>
    </w:p>
    <w:p w14:paraId="489C1DE0" w14:textId="77777777" w:rsidR="005C1B95" w:rsidRPr="00DF7A2E" w:rsidRDefault="005C1B95" w:rsidP="005C1B95">
      <w:pPr>
        <w:pStyle w:val="Heading2"/>
        <w:spacing w:before="0" w:after="120"/>
        <w:rPr>
          <w:rFonts w:ascii="Arial" w:hAnsi="Arial" w:cs="Arial"/>
        </w:rPr>
      </w:pPr>
      <w:r w:rsidRPr="00DF7A2E">
        <w:rPr>
          <w:rFonts w:ascii="Arial" w:hAnsi="Arial" w:cs="Arial"/>
        </w:rPr>
        <w:t>15.0 Secure Evolution of the Platform</w:t>
      </w:r>
    </w:p>
    <w:p w14:paraId="2832F27E"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As the IMHOTEP platform evolves, new capabilities and integrations may introduce additional security considerations. The security architecture is therefore designed to evolve alongside the platform.</w:t>
      </w:r>
    </w:p>
    <w:p w14:paraId="458D96A0"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New reasoning agents, tool integrations, and model providers must adhere to the security principles defined in this architecture.</w:t>
      </w:r>
    </w:p>
    <w:p w14:paraId="63D86392"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By enforcing consistent security practices across all platform components, IMHOTEP ensures that its autonomous development capabilities remain safe and trustworthy.</w:t>
      </w:r>
    </w:p>
    <w:p w14:paraId="7F70C402" w14:textId="77777777" w:rsidR="005C1B95" w:rsidRPr="00DF7A2E" w:rsidRDefault="005C1B95" w:rsidP="005C1B95">
      <w:pPr>
        <w:pStyle w:val="Heading2"/>
        <w:spacing w:before="0" w:after="120"/>
        <w:rPr>
          <w:rFonts w:ascii="Arial" w:hAnsi="Arial" w:cs="Arial"/>
        </w:rPr>
      </w:pPr>
      <w:r w:rsidRPr="00DF7A2E">
        <w:rPr>
          <w:rFonts w:ascii="Arial" w:hAnsi="Arial" w:cs="Arial"/>
        </w:rPr>
        <w:lastRenderedPageBreak/>
        <w:t>16.0 Security as the Structural Integrity of IMHOTEP</w:t>
      </w:r>
    </w:p>
    <w:p w14:paraId="241C771E"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Within the architectural narrative of Project IMHOTEP, the Platform Security Architecture represents the structural integrity of the construction site. Just as a physical structure requires reinforcement to ensure that it remains stable under stress, the autonomous construction platform requires security mechanisms that protect it from misuse, corruption, or instability.</w:t>
      </w:r>
    </w:p>
    <w:p w14:paraId="73126D12"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Through layered defenses, controlled interfaces, and comprehensive traceability, the platform maintains the strength required to support autonomous software construction at enterprise scale.</w:t>
      </w:r>
    </w:p>
    <w:p w14:paraId="24EF4E11"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Security therefore forms an essential foundation of the IMHOTEP architecture.</w:t>
      </w:r>
    </w:p>
    <w:p w14:paraId="432FC8A2"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B95"/>
    <w:rsid w:val="00223A5B"/>
    <w:rsid w:val="005C1B95"/>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328009"/>
  <w15:chartTrackingRefBased/>
  <w15:docId w15:val="{3FEF7D62-70F8-984A-BDC9-17A42045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1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1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B95"/>
    <w:rPr>
      <w:rFonts w:eastAsiaTheme="majorEastAsia" w:cstheme="majorBidi"/>
      <w:color w:val="272727" w:themeColor="text1" w:themeTint="D8"/>
    </w:rPr>
  </w:style>
  <w:style w:type="paragraph" w:styleId="Title">
    <w:name w:val="Title"/>
    <w:basedOn w:val="Normal"/>
    <w:next w:val="Normal"/>
    <w:link w:val="TitleChar"/>
    <w:uiPriority w:val="10"/>
    <w:qFormat/>
    <w:rsid w:val="005C1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B95"/>
    <w:pPr>
      <w:spacing w:before="160"/>
      <w:jc w:val="center"/>
    </w:pPr>
    <w:rPr>
      <w:i/>
      <w:iCs/>
      <w:color w:val="404040" w:themeColor="text1" w:themeTint="BF"/>
    </w:rPr>
  </w:style>
  <w:style w:type="character" w:customStyle="1" w:styleId="QuoteChar">
    <w:name w:val="Quote Char"/>
    <w:basedOn w:val="DefaultParagraphFont"/>
    <w:link w:val="Quote"/>
    <w:uiPriority w:val="29"/>
    <w:rsid w:val="005C1B95"/>
    <w:rPr>
      <w:i/>
      <w:iCs/>
      <w:color w:val="404040" w:themeColor="text1" w:themeTint="BF"/>
    </w:rPr>
  </w:style>
  <w:style w:type="paragraph" w:styleId="ListParagraph">
    <w:name w:val="List Paragraph"/>
    <w:basedOn w:val="Normal"/>
    <w:uiPriority w:val="34"/>
    <w:qFormat/>
    <w:rsid w:val="005C1B95"/>
    <w:pPr>
      <w:ind w:left="720"/>
      <w:contextualSpacing/>
    </w:pPr>
  </w:style>
  <w:style w:type="character" w:styleId="IntenseEmphasis">
    <w:name w:val="Intense Emphasis"/>
    <w:basedOn w:val="DefaultParagraphFont"/>
    <w:uiPriority w:val="21"/>
    <w:qFormat/>
    <w:rsid w:val="005C1B95"/>
    <w:rPr>
      <w:i/>
      <w:iCs/>
      <w:color w:val="0F4761" w:themeColor="accent1" w:themeShade="BF"/>
    </w:rPr>
  </w:style>
  <w:style w:type="paragraph" w:styleId="IntenseQuote">
    <w:name w:val="Intense Quote"/>
    <w:basedOn w:val="Normal"/>
    <w:next w:val="Normal"/>
    <w:link w:val="IntenseQuoteChar"/>
    <w:uiPriority w:val="30"/>
    <w:qFormat/>
    <w:rsid w:val="005C1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B95"/>
    <w:rPr>
      <w:i/>
      <w:iCs/>
      <w:color w:val="0F4761" w:themeColor="accent1" w:themeShade="BF"/>
    </w:rPr>
  </w:style>
  <w:style w:type="character" w:styleId="IntenseReference">
    <w:name w:val="Intense Reference"/>
    <w:basedOn w:val="DefaultParagraphFont"/>
    <w:uiPriority w:val="32"/>
    <w:qFormat/>
    <w:rsid w:val="005C1B95"/>
    <w:rPr>
      <w:b/>
      <w:bCs/>
      <w:smallCaps/>
      <w:color w:val="0F4761" w:themeColor="accent1" w:themeShade="BF"/>
      <w:spacing w:val="5"/>
    </w:rPr>
  </w:style>
  <w:style w:type="paragraph" w:styleId="NormalWeb">
    <w:name w:val="Normal (Web)"/>
    <w:basedOn w:val="Normal"/>
    <w:uiPriority w:val="99"/>
    <w:semiHidden/>
    <w:unhideWhenUsed/>
    <w:rsid w:val="005C1B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1B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1517</Words>
  <Characters>8647</Characters>
  <Application>Microsoft Office Word</Application>
  <DocSecurity>0</DocSecurity>
  <Lines>72</Lines>
  <Paragraphs>20</Paragraphs>
  <ScaleCrop>false</ScaleCrop>
  <Company/>
  <LinksUpToDate>false</LinksUpToDate>
  <CharactersWithSpaces>10144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2026-03-18T20:08:00Z</dcterms:created>
  <dcterms:modified xsi:type="dcterms:W3CDTF">2026-03-18T20:09:00Z</dcterms:modified>
</cp:coreProperties>
</file>