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5A576" w14:textId="32700E8D" w:rsidR="006A7C31" w:rsidRPr="00E440EF" w:rsidRDefault="004A2D8B" w:rsidP="004A2D8B">
      <w:pPr>
        <w:pStyle w:val="Title"/>
        <w:rPr>
          <w:rFonts w:ascii="Calibri" w:hAnsi="Calibri" w:cs="Calibri"/>
          <w:sz w:val="44"/>
          <w:szCs w:val="44"/>
        </w:rPr>
      </w:pPr>
      <w:r w:rsidRPr="00E440EF">
        <w:rPr>
          <w:rFonts w:ascii="Calibri" w:hAnsi="Calibri" w:cs="Calibri"/>
          <w:sz w:val="44"/>
          <w:szCs w:val="44"/>
        </w:rPr>
        <w:t>IMHOTEP</w:t>
      </w:r>
      <w:r w:rsidR="005711DC">
        <w:rPr>
          <w:rFonts w:ascii="Calibri" w:hAnsi="Calibri" w:cs="Calibri"/>
          <w:sz w:val="44"/>
          <w:szCs w:val="44"/>
        </w:rPr>
        <w:t xml:space="preserve"> (IM)</w:t>
      </w:r>
      <w:r w:rsidR="00D26397">
        <w:rPr>
          <w:rFonts w:ascii="Calibri" w:hAnsi="Calibri" w:cs="Calibri"/>
          <w:sz w:val="44"/>
          <w:szCs w:val="44"/>
        </w:rPr>
        <w:t xml:space="preserve"> in Practice:</w:t>
      </w:r>
      <w:r w:rsidRPr="00E440EF">
        <w:rPr>
          <w:rFonts w:ascii="Calibri" w:hAnsi="Calibri" w:cs="Calibri"/>
          <w:sz w:val="44"/>
          <w:szCs w:val="44"/>
        </w:rPr>
        <w:t xml:space="preserve"> </w:t>
      </w:r>
      <w:r w:rsidR="00D26397">
        <w:rPr>
          <w:rFonts w:ascii="Calibri" w:hAnsi="Calibri" w:cs="Calibri"/>
          <w:sz w:val="44"/>
          <w:szCs w:val="44"/>
        </w:rPr>
        <w:t>The Autonomous SDLC</w:t>
      </w:r>
    </w:p>
    <w:p w14:paraId="6CF8F615" w14:textId="3E843EA5" w:rsidR="0085033D" w:rsidRDefault="0085033D" w:rsidP="0085033D">
      <w:pPr>
        <w:pStyle w:val="ember-view"/>
        <w:spacing w:before="0" w:beforeAutospacing="0" w:after="0" w:afterAutospacing="0"/>
        <w:textAlignment w:val="baseline"/>
        <w:rPr>
          <w:rFonts w:ascii="Segoe UI" w:hAnsi="Segoe UI" w:cs="Segoe UI"/>
        </w:rPr>
      </w:pPr>
      <w:r>
        <w:rPr>
          <w:rFonts w:ascii="Segoe UI" w:hAnsi="Segoe UI" w:cs="Segoe UI"/>
        </w:rPr>
        <w:t>Th</w:t>
      </w:r>
      <w:r>
        <w:rPr>
          <w:rFonts w:ascii="Segoe UI" w:hAnsi="Segoe UI" w:cs="Segoe UI"/>
        </w:rPr>
        <w:t xml:space="preserve">is and the full </w:t>
      </w:r>
      <w:r>
        <w:rPr>
          <w:rFonts w:ascii="Segoe UI" w:hAnsi="Segoe UI" w:cs="Segoe UI"/>
        </w:rPr>
        <w:t>“</w:t>
      </w:r>
      <w:hyperlink r:id="rId5" w:tgtFrame="_self" w:history="1">
        <w:r>
          <w:rPr>
            <w:rStyle w:val="Hyperlink"/>
            <w:rFonts w:ascii="Segoe UI" w:eastAsiaTheme="majorEastAsia" w:hAnsi="Segoe UI" w:cs="Segoe UI"/>
            <w:b/>
            <w:bCs/>
            <w:color w:val="0A66C2"/>
            <w:bdr w:val="none" w:sz="0" w:space="0" w:color="auto" w:frame="1"/>
          </w:rPr>
          <w:t>discussion.im</w:t>
        </w:r>
      </w:hyperlink>
      <w:r>
        <w:rPr>
          <w:rFonts w:ascii="Segoe UI" w:hAnsi="Segoe UI" w:cs="Segoe UI"/>
        </w:rPr>
        <w:t>.macs.</w:t>
      </w:r>
      <w:r>
        <w:rPr>
          <w:rFonts w:ascii="Segoe UI" w:hAnsi="Segoe UI" w:cs="Segoe UI"/>
        </w:rPr>
        <w:t>autonomous-sdlc</w:t>
      </w:r>
      <w:r>
        <w:rPr>
          <w:rFonts w:ascii="Segoe UI" w:hAnsi="Segoe UI" w:cs="Segoe UI"/>
        </w:rPr>
        <w:t>”</w:t>
      </w:r>
      <w:r>
        <w:rPr>
          <w:rFonts w:ascii="Segoe UI" w:hAnsi="Segoe UI" w:cs="Segoe UI"/>
        </w:rPr>
        <w:t xml:space="preserve"> document that</w:t>
      </w:r>
      <w:r>
        <w:rPr>
          <w:rFonts w:ascii="Segoe UI" w:hAnsi="Segoe UI" w:cs="Segoe UI"/>
        </w:rPr>
        <w:t xml:space="preserve"> describe</w:t>
      </w:r>
      <w:r>
        <w:rPr>
          <w:rFonts w:ascii="Segoe UI" w:hAnsi="Segoe UI" w:cs="Segoe UI"/>
        </w:rPr>
        <w:t xml:space="preserve"> the execution architecture</w:t>
      </w:r>
      <w:r>
        <w:rPr>
          <w:rFonts w:ascii="Segoe UI" w:hAnsi="Segoe UI" w:cs="Segoe UI"/>
        </w:rPr>
        <w:t xml:space="preserve"> are available in the “discussions” folder in GITHUB, visit</w:t>
      </w:r>
      <w:r>
        <w:rPr>
          <w:rStyle w:val="white-space-pre"/>
          <w:rFonts w:ascii="Segoe UI" w:eastAsiaTheme="majorEastAsia" w:hAnsi="Segoe UI" w:cs="Segoe UI"/>
          <w:bdr w:val="none" w:sz="0" w:space="0" w:color="auto" w:frame="1"/>
        </w:rPr>
        <w:t xml:space="preserve"> </w:t>
      </w:r>
      <w:hyperlink r:id="rId6" w:tgtFrame="_self" w:history="1">
        <w:r>
          <w:rPr>
            <w:rStyle w:val="Hyperlink"/>
            <w:rFonts w:ascii="Segoe UI" w:eastAsiaTheme="majorEastAsia" w:hAnsi="Segoe UI" w:cs="Segoe UI"/>
            <w:b/>
            <w:bCs/>
            <w:color w:val="0A66C2"/>
            <w:bdr w:val="none" w:sz="0" w:space="0" w:color="auto" w:frame="1"/>
          </w:rPr>
          <w:t>https://github.com/eci-repos/Imhotep.Specifications</w:t>
        </w:r>
      </w:hyperlink>
      <w:r>
        <w:rPr>
          <w:rFonts w:ascii="Segoe UI" w:hAnsi="Segoe UI" w:cs="Segoe UI"/>
        </w:rPr>
        <w:t>.</w:t>
      </w:r>
    </w:p>
    <w:p w14:paraId="11031D83" w14:textId="4696C18C" w:rsidR="000A171A" w:rsidRPr="005711DC" w:rsidRDefault="005711DC" w:rsidP="005711DC">
      <w:pPr>
        <w:pStyle w:val="Heading1"/>
        <w:rPr>
          <w:rStyle w:val="ng-star-inserted"/>
          <w:rFonts w:ascii="Calibri" w:hAnsi="Calibri" w:cs="Calibri"/>
          <w:color w:val="303030"/>
          <w:shd w:val="clear" w:color="auto" w:fill="FFFFFF"/>
        </w:rPr>
      </w:pPr>
      <w:r>
        <w:rPr>
          <w:rStyle w:val="ng-star-inserted"/>
          <w:rFonts w:ascii="Calibri" w:hAnsi="Calibri" w:cs="Calibri"/>
          <w:color w:val="303030"/>
          <w:shd w:val="clear" w:color="auto" w:fill="FFFFFF"/>
        </w:rPr>
        <w:t>Summary</w:t>
      </w:r>
    </w:p>
    <w:p w14:paraId="302CA3D5" w14:textId="77777777" w:rsidR="005711DC" w:rsidRPr="005711DC" w:rsidRDefault="005711DC" w:rsidP="005711DC">
      <w:pPr>
        <w:rPr>
          <w:rFonts w:ascii="Calibri" w:hAnsi="Calibri" w:cs="Calibri"/>
        </w:rPr>
      </w:pPr>
      <w:r w:rsidRPr="005711DC">
        <w:rPr>
          <w:rStyle w:val="ng-star-inserted"/>
          <w:rFonts w:ascii="Calibri" w:hAnsi="Calibri" w:cs="Calibri"/>
        </w:rPr>
        <w:t>The central theme of this document is the practical execution of the IMHOTEP architecture. It demonstrates exactly how the platform transitions from a theoretical concept into a deterministic, specification-driven construction engine by walking through the complete lifecycle of the Minimal Autonomous Construction System (MACS) Proof-of-Concept.</w:t>
      </w:r>
    </w:p>
    <w:p w14:paraId="3B95FDDE" w14:textId="77777777" w:rsidR="005711DC" w:rsidRPr="005711DC" w:rsidRDefault="005711DC" w:rsidP="005711DC">
      <w:pPr>
        <w:spacing w:after="120"/>
        <w:rPr>
          <w:rFonts w:ascii="Calibri" w:hAnsi="Calibri" w:cs="Calibri"/>
        </w:rPr>
      </w:pPr>
      <w:r w:rsidRPr="005711DC">
        <w:rPr>
          <w:rStyle w:val="ng-star-inserted"/>
          <w:rFonts w:ascii="Calibri" w:hAnsi="Calibri" w:cs="Calibri"/>
        </w:rPr>
        <w:t>Rather than acting as an open-ended AI coding assistant, IMHOTEP operates on rigid boundaries, pipelines, and protocols. This document illustrates this paradigm shift by exploring the platform's operation across the following distinct phases:</w:t>
      </w:r>
    </w:p>
    <w:p w14:paraId="0438FF2D" w14:textId="77777777" w:rsidR="005711DC" w:rsidRPr="005711DC" w:rsidRDefault="005711DC" w:rsidP="005711DC">
      <w:pPr>
        <w:pStyle w:val="paragraph"/>
        <w:numPr>
          <w:ilvl w:val="0"/>
          <w:numId w:val="9"/>
        </w:numPr>
        <w:shd w:val="clear" w:color="auto" w:fill="FFFFFF"/>
        <w:spacing w:before="0" w:beforeAutospacing="0" w:after="0" w:afterAutospacing="0"/>
        <w:rPr>
          <w:rFonts w:ascii="Calibri" w:hAnsi="Calibri" w:cs="Calibri"/>
          <w:color w:val="303030"/>
          <w:sz w:val="21"/>
          <w:szCs w:val="21"/>
        </w:rPr>
      </w:pPr>
      <w:r w:rsidRPr="005711DC">
        <w:rPr>
          <w:rFonts w:ascii="Calibri" w:hAnsi="Calibri" w:cs="Calibri"/>
          <w:b/>
          <w:bCs/>
          <w:color w:val="303030"/>
          <w:sz w:val="21"/>
          <w:szCs w:val="21"/>
        </w:rPr>
        <w:t>Context Assembly and Blueprint Initiation:</w:t>
      </w:r>
      <w:r w:rsidRPr="005711DC">
        <w:rPr>
          <w:rStyle w:val="ng-star-inserted"/>
          <w:rFonts w:ascii="Calibri" w:hAnsi="Calibri" w:cs="Calibri"/>
          <w:color w:val="303030"/>
          <w:sz w:val="21"/>
          <w:szCs w:val="21"/>
        </w:rPr>
        <w:t xml:space="preserve"> The process begins by demonstrating how a cross-functional human governance team (comprising Architects, Domain Experts, and Security Validators) formally initiates the platform. We will showcase the authoring of the Structured Transaction Payload (STP), which embeds mandatory constraints—such as NCSC NODS data standards and CJIS/NIST policies—into a strictly formatted, machine-</w:t>
      </w:r>
      <w:proofErr w:type="spellStart"/>
      <w:r w:rsidRPr="005711DC">
        <w:rPr>
          <w:rStyle w:val="ng-star-inserted"/>
          <w:rFonts w:ascii="Calibri" w:hAnsi="Calibri" w:cs="Calibri"/>
          <w:color w:val="303030"/>
          <w:sz w:val="21"/>
          <w:szCs w:val="21"/>
        </w:rPr>
        <w:t>parseable</w:t>
      </w:r>
      <w:proofErr w:type="spellEnd"/>
      <w:r w:rsidRPr="005711DC">
        <w:rPr>
          <w:rStyle w:val="ng-star-inserted"/>
          <w:rFonts w:ascii="Calibri" w:hAnsi="Calibri" w:cs="Calibri"/>
          <w:color w:val="303030"/>
          <w:sz w:val="21"/>
          <w:szCs w:val="21"/>
        </w:rPr>
        <w:t xml:space="preserve"> blueprint.</w:t>
      </w:r>
    </w:p>
    <w:p w14:paraId="19A20671" w14:textId="77777777" w:rsidR="005711DC" w:rsidRPr="005711DC" w:rsidRDefault="005711DC" w:rsidP="005711DC">
      <w:pPr>
        <w:pStyle w:val="paragraph"/>
        <w:numPr>
          <w:ilvl w:val="0"/>
          <w:numId w:val="9"/>
        </w:numPr>
        <w:shd w:val="clear" w:color="auto" w:fill="FFFFFF"/>
        <w:spacing w:before="0" w:beforeAutospacing="0" w:after="0" w:afterAutospacing="0"/>
        <w:rPr>
          <w:rFonts w:ascii="Calibri" w:hAnsi="Calibri" w:cs="Calibri"/>
          <w:color w:val="303030"/>
          <w:sz w:val="21"/>
          <w:szCs w:val="21"/>
        </w:rPr>
      </w:pPr>
      <w:r w:rsidRPr="005711DC">
        <w:rPr>
          <w:rFonts w:ascii="Calibri" w:hAnsi="Calibri" w:cs="Calibri"/>
          <w:b/>
          <w:bCs/>
          <w:color w:val="303030"/>
          <w:sz w:val="21"/>
          <w:szCs w:val="21"/>
        </w:rPr>
        <w:t>Autonomous Execution and Human-Machine Escalation:</w:t>
      </w:r>
      <w:r w:rsidRPr="005711DC">
        <w:rPr>
          <w:rStyle w:val="ng-star-inserted"/>
          <w:rFonts w:ascii="Calibri" w:hAnsi="Calibri" w:cs="Calibri"/>
          <w:color w:val="303030"/>
          <w:sz w:val="21"/>
          <w:szCs w:val="21"/>
        </w:rPr>
        <w:t xml:space="preserve"> Once the blueprint passes formal Approval Gates, human intervention pauses and the Execution Runtime takes control. The document outlines the autonomous build and automated repair loops, detailing the formal exception-handling pathways (the digital "Andon Cord") triggered if the machine encounters structural conflicts requiring human escalation.</w:t>
      </w:r>
    </w:p>
    <w:p w14:paraId="77DDCD27" w14:textId="77777777" w:rsidR="005711DC" w:rsidRPr="005711DC" w:rsidRDefault="005711DC" w:rsidP="005711DC">
      <w:pPr>
        <w:pStyle w:val="paragraph"/>
        <w:numPr>
          <w:ilvl w:val="0"/>
          <w:numId w:val="9"/>
        </w:numPr>
        <w:shd w:val="clear" w:color="auto" w:fill="FFFFFF"/>
        <w:spacing w:before="0" w:beforeAutospacing="0" w:after="0" w:afterAutospacing="0"/>
        <w:rPr>
          <w:rFonts w:ascii="Calibri" w:hAnsi="Calibri" w:cs="Calibri"/>
          <w:color w:val="303030"/>
          <w:sz w:val="21"/>
          <w:szCs w:val="21"/>
        </w:rPr>
      </w:pPr>
      <w:r w:rsidRPr="005711DC">
        <w:rPr>
          <w:rFonts w:ascii="Calibri" w:hAnsi="Calibri" w:cs="Calibri"/>
          <w:b/>
          <w:bCs/>
          <w:color w:val="303030"/>
          <w:sz w:val="21"/>
          <w:szCs w:val="21"/>
        </w:rPr>
        <w:t>The "Watchtower" and Traceability Audits:</w:t>
      </w:r>
      <w:r w:rsidRPr="005711DC">
        <w:rPr>
          <w:rStyle w:val="ng-star-inserted"/>
          <w:rFonts w:ascii="Calibri" w:hAnsi="Calibri" w:cs="Calibri"/>
          <w:color w:val="303030"/>
          <w:sz w:val="21"/>
          <w:szCs w:val="21"/>
        </w:rPr>
        <w:t xml:space="preserve"> As the machine builds the software, human roles shift to active supervision. We explore how teams monitor real-time execution and tool telemetry from the "Watchtower", and how Court Auditors leverage the platform's bidirectional Traceability Graph to mathematically verify policy compliance instead of manually reviewing generated code.</w:t>
      </w:r>
    </w:p>
    <w:p w14:paraId="1314428A" w14:textId="77777777" w:rsidR="005711DC" w:rsidRPr="005711DC" w:rsidRDefault="005711DC" w:rsidP="005711DC">
      <w:pPr>
        <w:pStyle w:val="paragraph"/>
        <w:numPr>
          <w:ilvl w:val="0"/>
          <w:numId w:val="9"/>
        </w:numPr>
        <w:shd w:val="clear" w:color="auto" w:fill="FFFFFF"/>
        <w:spacing w:before="0" w:beforeAutospacing="0" w:after="0" w:afterAutospacing="0"/>
        <w:rPr>
          <w:rFonts w:ascii="Calibri" w:hAnsi="Calibri" w:cs="Calibri"/>
          <w:color w:val="303030"/>
          <w:sz w:val="21"/>
          <w:szCs w:val="21"/>
        </w:rPr>
      </w:pPr>
      <w:r w:rsidRPr="005711DC">
        <w:rPr>
          <w:rFonts w:ascii="Calibri" w:hAnsi="Calibri" w:cs="Calibri"/>
          <w:b/>
          <w:bCs/>
          <w:color w:val="303030"/>
          <w:sz w:val="21"/>
          <w:szCs w:val="21"/>
        </w:rPr>
        <w:t>Deployment Handoff and Continuous Evolution:</w:t>
      </w:r>
      <w:r w:rsidRPr="005711DC">
        <w:rPr>
          <w:rStyle w:val="ng-star-inserted"/>
          <w:rFonts w:ascii="Calibri" w:hAnsi="Calibri" w:cs="Calibri"/>
          <w:color w:val="303030"/>
          <w:sz w:val="21"/>
          <w:szCs w:val="21"/>
        </w:rPr>
        <w:t xml:space="preserve"> Finally, the document details the final architectural assessments by the Review Agent and the operational packaging by the Deployment Preparer. It concludes by demonstrating how the platform handles "Day 2" operations, utilizing the machine's memory to perform targeted, autonomous reconstruction when business requirements evolve.</w:t>
      </w:r>
    </w:p>
    <w:p w14:paraId="0B4954DE" w14:textId="77777777" w:rsidR="005711DC" w:rsidRPr="005711DC" w:rsidRDefault="005711DC" w:rsidP="005711DC">
      <w:pPr>
        <w:spacing w:before="120"/>
        <w:rPr>
          <w:rFonts w:ascii="Calibri" w:hAnsi="Calibri" w:cs="Calibri"/>
        </w:rPr>
      </w:pPr>
      <w:r w:rsidRPr="005711DC">
        <w:rPr>
          <w:rStyle w:val="ng-star-inserted"/>
          <w:rFonts w:ascii="Calibri" w:hAnsi="Calibri" w:cs="Calibri"/>
        </w:rPr>
        <w:t>By walking through this end-to-end autonomous software development lifecycle, this document proves how IMHOTEP successfully automates the mechanical labor of software engineering while keeping ultimate authority, governance, and architectural stewardship firmly in human hands.</w:t>
      </w:r>
    </w:p>
    <w:p w14:paraId="7A5C0657" w14:textId="62424261" w:rsidR="004A2D8B" w:rsidRPr="00E440EF" w:rsidRDefault="000A171A" w:rsidP="000A171A">
      <w:pPr>
        <w:pStyle w:val="Heading1"/>
        <w:rPr>
          <w:rFonts w:ascii="Calibri" w:hAnsi="Calibri" w:cs="Calibri"/>
        </w:rPr>
      </w:pPr>
      <w:r w:rsidRPr="00E440EF">
        <w:rPr>
          <w:rFonts w:ascii="Calibri" w:hAnsi="Calibri" w:cs="Calibri"/>
        </w:rPr>
        <w:t>Structured Transaction Payload</w:t>
      </w:r>
    </w:p>
    <w:p w14:paraId="473B4926" w14:textId="11BED34D" w:rsidR="004A2D8B" w:rsidRPr="00E440EF" w:rsidRDefault="004A2D8B" w:rsidP="004A2D8B">
      <w:pPr>
        <w:spacing w:after="120"/>
        <w:rPr>
          <w:rFonts w:ascii="Calibri" w:hAnsi="Calibri" w:cs="Calibri"/>
        </w:rPr>
      </w:pPr>
      <w:r w:rsidRPr="00E440EF">
        <w:rPr>
          <w:rFonts w:ascii="Calibri" w:hAnsi="Calibri" w:cs="Calibri"/>
        </w:rPr>
        <w:t>It is time to generate the Structured Transaction Payload (STP) for the Minimal Autonomous Construction System (MACS) Proof-of-Concept.</w:t>
      </w:r>
    </w:p>
    <w:p w14:paraId="487223E6" w14:textId="77777777" w:rsidR="004A2D8B" w:rsidRPr="00E440EF" w:rsidRDefault="004A2D8B" w:rsidP="004A2D8B">
      <w:pPr>
        <w:spacing w:after="120"/>
        <w:rPr>
          <w:rFonts w:ascii="Calibri" w:hAnsi="Calibri" w:cs="Calibri"/>
        </w:rPr>
      </w:pPr>
      <w:r w:rsidRPr="00E440EF">
        <w:rPr>
          <w:rFonts w:ascii="Calibri" w:hAnsi="Calibri" w:cs="Calibri"/>
        </w:rPr>
        <w:t xml:space="preserve">As dictated by the Model Interaction Protocol (ISL v3.8), this payload acts as the formal, executable ISL blueprint that abandons conversational prompting in favor of strict, </w:t>
      </w:r>
      <w:r w:rsidRPr="00E440EF">
        <w:rPr>
          <w:rFonts w:ascii="Calibri" w:hAnsi="Calibri" w:cs="Calibri"/>
        </w:rPr>
        <w:lastRenderedPageBreak/>
        <w:t xml:space="preserve">programmatic communication. It defines a </w:t>
      </w:r>
      <w:r w:rsidRPr="00E440EF">
        <w:rPr>
          <w:rFonts w:ascii="Calibri" w:hAnsi="Calibri" w:cs="Calibri"/>
          <w:b/>
          <w:bCs/>
        </w:rPr>
        <w:t>local-first, containerized .NET REST service</w:t>
      </w:r>
      <w:r w:rsidRPr="00E440EF">
        <w:rPr>
          <w:rFonts w:ascii="Calibri" w:hAnsi="Calibri" w:cs="Calibri"/>
        </w:rPr>
        <w:t xml:space="preserve"> for court case intake. It maps directly to National Center for State Courts (NCSC) NODS standards, enforces CJIS and NIST 800-53 security policies, and establishes explicit deterministic validation criteria.</w:t>
      </w:r>
    </w:p>
    <w:p w14:paraId="5DD81A60" w14:textId="77777777" w:rsidR="004A2D8B" w:rsidRPr="00E440EF" w:rsidRDefault="004A2D8B" w:rsidP="004A2D8B">
      <w:pPr>
        <w:spacing w:after="120"/>
        <w:rPr>
          <w:rFonts w:ascii="Calibri" w:hAnsi="Calibri" w:cs="Calibri"/>
        </w:rPr>
      </w:pPr>
      <w:r w:rsidRPr="00E440EF">
        <w:rPr>
          <w:rFonts w:ascii="Calibri" w:hAnsi="Calibri" w:cs="Calibri"/>
        </w:rPr>
        <w:t xml:space="preserve">Here is the formal STP at the </w:t>
      </w:r>
      <w:r w:rsidRPr="00E440EF">
        <w:rPr>
          <w:rFonts w:ascii="Calibri" w:hAnsi="Calibri" w:cs="Calibri"/>
          <w:b/>
          <w:bCs/>
        </w:rPr>
        <w:t>Reviewable Level</w:t>
      </w:r>
      <w:r w:rsidRPr="00E440EF">
        <w:rPr>
          <w:rFonts w:ascii="Calibri" w:hAnsi="Calibri" w:cs="Calibri"/>
        </w:rPr>
        <w:t>:</w:t>
      </w:r>
    </w:p>
    <w:p w14:paraId="2103FAF0"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0"/>
          <w:szCs w:val="20"/>
        </w:rPr>
      </w:pPr>
      <w:r w:rsidRPr="00E440EF">
        <w:rPr>
          <w:rFonts w:ascii="Consolas" w:hAnsi="Consolas" w:cs="Consolas"/>
          <w:sz w:val="20"/>
          <w:szCs w:val="20"/>
        </w:rPr>
        <w:t>---</w:t>
      </w:r>
    </w:p>
    <w:p w14:paraId="30BE7E3D"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0"/>
          <w:szCs w:val="20"/>
        </w:rPr>
      </w:pPr>
      <w:r w:rsidRPr="00E440EF">
        <w:rPr>
          <w:rFonts w:ascii="Consolas" w:hAnsi="Consolas" w:cs="Consolas"/>
          <w:sz w:val="20"/>
          <w:szCs w:val="20"/>
        </w:rPr>
        <w:t>TRANSACTION_ID: TASK-SPEC-INIT-004</w:t>
      </w:r>
    </w:p>
    <w:p w14:paraId="16FDB4B7"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0"/>
          <w:szCs w:val="20"/>
        </w:rPr>
      </w:pPr>
      <w:r w:rsidRPr="00E440EF">
        <w:rPr>
          <w:rFonts w:ascii="Consolas" w:hAnsi="Consolas" w:cs="Consolas"/>
          <w:sz w:val="20"/>
          <w:szCs w:val="20"/>
        </w:rPr>
        <w:t>AGENT_ROLES: [Specification Interpreter, Architecture Planner, Security Validator, Test Generator]</w:t>
      </w:r>
    </w:p>
    <w:p w14:paraId="1E0AA00F"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0"/>
          <w:szCs w:val="20"/>
        </w:rPr>
      </w:pPr>
      <w:r w:rsidRPr="00E440EF">
        <w:rPr>
          <w:rFonts w:ascii="Consolas" w:hAnsi="Consolas" w:cs="Consolas"/>
          <w:sz w:val="20"/>
          <w:szCs w:val="20"/>
        </w:rPr>
        <w:t>TARGET_ARCHITECTURE: Minimal Autonomous Construction System (MACS) .NET REST Service</w:t>
      </w:r>
    </w:p>
    <w:p w14:paraId="18AB0F2E"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0"/>
          <w:szCs w:val="20"/>
        </w:rPr>
      </w:pPr>
      <w:r w:rsidRPr="00E440EF">
        <w:rPr>
          <w:rFonts w:ascii="Consolas" w:hAnsi="Consolas" w:cs="Consolas"/>
          <w:sz w:val="20"/>
          <w:szCs w:val="20"/>
        </w:rPr>
        <w:t>---</w:t>
      </w:r>
    </w:p>
    <w:p w14:paraId="7572263C"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CONTEXT ASSEMBLY:</w:t>
      </w:r>
      <w:r w:rsidRPr="00E440EF">
        <w:rPr>
          <w:rFonts w:ascii="Consolas" w:hAnsi="Consolas" w:cs="Consolas"/>
        </w:rPr>
        <w:t xml:space="preserve"> Assume a U.S. state-level judiciary. Follow a standards-first approach utilizing the National Center for State Courts (NCSC) National Open Court Data Standards (NODS), mapping directly to the </w:t>
      </w:r>
      <w:proofErr w:type="spellStart"/>
      <w:r w:rsidRPr="00E440EF">
        <w:rPr>
          <w:rFonts w:ascii="Consolas" w:hAnsi="Consolas" w:cs="Consolas"/>
        </w:rPr>
        <w:t>Psj_Court_Canonical</w:t>
      </w:r>
      <w:proofErr w:type="spellEnd"/>
      <w:r w:rsidRPr="00E440EF">
        <w:rPr>
          <w:rFonts w:ascii="Consolas" w:hAnsi="Consolas" w:cs="Consolas"/>
        </w:rPr>
        <w:t xml:space="preserve"> relational schema for data entities and NCSC principles for case lifecycles. Utilize CJIS and NIST security policies, alongside NCSC Data Governance Policy Guide recommendations. Assume a local-first, containerized .NET deployment target for the initial MACS execution.</w:t>
      </w:r>
    </w:p>
    <w:p w14:paraId="3731B36C"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OPERATIONAL CONSTRAINTS:</w:t>
      </w:r>
      <w:r w:rsidRPr="00E440EF">
        <w:rPr>
          <w:rFonts w:ascii="Consolas" w:hAnsi="Consolas" w:cs="Consolas"/>
        </w:rPr>
        <w:t xml:space="preserve"> You must establish a bidirectional Traceability Graph. Assign persistent, unique identifiers to every defined entity, and explicitly cross-reference them across sections. Ensure the Validation section includes specific, deterministic rules mapped to testing tools. Compliance standards must be tagged as [Mandatory], [Recommended], or [Optional].</w:t>
      </w:r>
    </w:p>
    <w:p w14:paraId="08BD182B"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OUTPUT CONTRACT:</w:t>
      </w:r>
      <w:r w:rsidRPr="00E440EF">
        <w:rPr>
          <w:rFonts w:ascii="Consolas" w:hAnsi="Consolas" w:cs="Consolas"/>
        </w:rPr>
        <w:t xml:space="preserve"> Output ONLY a strict ISL Markdown document utilizing the following 13 discrete canonical headers exactly: Project, Context, Stakeholder, Actor, Capability, Requirement, Service, Interface, </w:t>
      </w:r>
      <w:proofErr w:type="spellStart"/>
      <w:r w:rsidRPr="00E440EF">
        <w:rPr>
          <w:rFonts w:ascii="Consolas" w:hAnsi="Consolas" w:cs="Consolas"/>
        </w:rPr>
        <w:t>DataEntity</w:t>
      </w:r>
      <w:proofErr w:type="spellEnd"/>
      <w:r w:rsidRPr="00E440EF">
        <w:rPr>
          <w:rFonts w:ascii="Consolas" w:hAnsi="Consolas" w:cs="Consolas"/>
        </w:rPr>
        <w:t>, Workflow, Policy, Infrastructure, Validation.</w:t>
      </w:r>
    </w:p>
    <w:p w14:paraId="5954EC9B"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Project</w:t>
      </w:r>
    </w:p>
    <w:p w14:paraId="2A05DEFC"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PROJ-INTAKE-001</w:t>
      </w:r>
      <w:r w:rsidRPr="00E440EF">
        <w:rPr>
          <w:rFonts w:ascii="Consolas" w:hAnsi="Consolas" w:cs="Consolas"/>
        </w:rPr>
        <w:t>: Court Case Intake REST Service. A Minimal Autonomous Construction System (MACS) proof-of-concept subsystem responsible for the ingestion, validation, and initial processing of court case filings mapped to NCSC NODS standards.</w:t>
      </w:r>
    </w:p>
    <w:p w14:paraId="3E4839DF"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Context</w:t>
      </w:r>
    </w:p>
    <w:p w14:paraId="73E0EF0F"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CTX-001</w:t>
      </w:r>
      <w:r w:rsidRPr="00E440EF">
        <w:rPr>
          <w:rFonts w:ascii="Consolas" w:hAnsi="Consolas" w:cs="Consolas"/>
        </w:rPr>
        <w:t xml:space="preserve">: U.S. state-level judiciary environment. The system operates as the primary ingestion point for external e-filing systems and interoperates with downstream court ecosystems by aligning strictly with the </w:t>
      </w:r>
      <w:proofErr w:type="spellStart"/>
      <w:r w:rsidRPr="00E440EF">
        <w:rPr>
          <w:rFonts w:ascii="Consolas" w:hAnsi="Consolas" w:cs="Consolas"/>
        </w:rPr>
        <w:t>Psj_Court_Canonical</w:t>
      </w:r>
      <w:proofErr w:type="spellEnd"/>
      <w:r w:rsidRPr="00E440EF">
        <w:rPr>
          <w:rFonts w:ascii="Consolas" w:hAnsi="Consolas" w:cs="Consolas"/>
        </w:rPr>
        <w:t xml:space="preserve"> relational schema.</w:t>
      </w:r>
    </w:p>
    <w:p w14:paraId="1740047E"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Stakeholder</w:t>
      </w:r>
    </w:p>
    <w:p w14:paraId="0DF91AF0"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STK-001</w:t>
      </w:r>
      <w:r w:rsidRPr="00E440EF">
        <w:rPr>
          <w:rFonts w:ascii="Consolas" w:hAnsi="Consolas" w:cs="Consolas"/>
        </w:rPr>
        <w:t xml:space="preserve">: Court Auditors - Responsible for reviewing specification governance, tracing, and compliance Approval Gates. </w:t>
      </w:r>
      <w:r w:rsidRPr="00E440EF">
        <w:rPr>
          <w:rFonts w:ascii="Consolas" w:hAnsi="Consolas" w:cs="Consolas"/>
          <w:b/>
          <w:bCs/>
        </w:rPr>
        <w:t>STK-002</w:t>
      </w:r>
      <w:r w:rsidRPr="00E440EF">
        <w:rPr>
          <w:rFonts w:ascii="Consolas" w:hAnsi="Consolas" w:cs="Consolas"/>
        </w:rPr>
        <w:t xml:space="preserve">: Security Validators - Responsible for evaluating CJIS and NIST 800-53 compliance. </w:t>
      </w:r>
      <w:r w:rsidRPr="00E440EF">
        <w:rPr>
          <w:rFonts w:ascii="Consolas" w:hAnsi="Consolas" w:cs="Consolas"/>
          <w:b/>
          <w:bCs/>
        </w:rPr>
        <w:t>STK-003</w:t>
      </w:r>
      <w:r w:rsidRPr="00E440EF">
        <w:rPr>
          <w:rFonts w:ascii="Consolas" w:hAnsi="Consolas" w:cs="Consolas"/>
        </w:rPr>
        <w:t xml:space="preserve">: Chief Data Officer (CDO) - Responsible for </w:t>
      </w:r>
      <w:r w:rsidRPr="00E440EF">
        <w:rPr>
          <w:rFonts w:ascii="Consolas" w:hAnsi="Consolas" w:cs="Consolas"/>
        </w:rPr>
        <w:lastRenderedPageBreak/>
        <w:t>defining data management strategy and enforcing NCSC Data Governance policies, ensuring data accuracy and privacy.</w:t>
      </w:r>
    </w:p>
    <w:p w14:paraId="288B0F67"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Actor</w:t>
      </w:r>
    </w:p>
    <w:p w14:paraId="79DAAE51"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ACT-001</w:t>
      </w:r>
      <w:r w:rsidRPr="00E440EF">
        <w:rPr>
          <w:rFonts w:ascii="Consolas" w:hAnsi="Consolas" w:cs="Consolas"/>
        </w:rPr>
        <w:t xml:space="preserve">: External E-Filing System - Automated external process submitting initial structured case filings. </w:t>
      </w:r>
      <w:r w:rsidRPr="00E440EF">
        <w:rPr>
          <w:rFonts w:ascii="Consolas" w:hAnsi="Consolas" w:cs="Consolas"/>
          <w:b/>
          <w:bCs/>
        </w:rPr>
        <w:t>ACT-002</w:t>
      </w:r>
      <w:r w:rsidRPr="00E440EF">
        <w:rPr>
          <w:rFonts w:ascii="Consolas" w:hAnsi="Consolas" w:cs="Consolas"/>
        </w:rPr>
        <w:t>: Court Clerk - Human user reviewing flagged exception reports, verifying data quality, and handling non-compliant intake submissions.</w:t>
      </w:r>
    </w:p>
    <w:p w14:paraId="555E59B4"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Capability</w:t>
      </w:r>
    </w:p>
    <w:p w14:paraId="1FA42708"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CAP-001</w:t>
      </w:r>
      <w:r w:rsidRPr="00E440EF">
        <w:rPr>
          <w:rFonts w:ascii="Consolas" w:hAnsi="Consolas" w:cs="Consolas"/>
        </w:rPr>
        <w:t xml:space="preserve">: Automated Case Ingestion - The high-level business function to receive, parse, and validate structured court data payloads. </w:t>
      </w:r>
      <w:r w:rsidRPr="00E440EF">
        <w:rPr>
          <w:rFonts w:ascii="Consolas" w:hAnsi="Consolas" w:cs="Consolas"/>
          <w:b/>
          <w:bCs/>
        </w:rPr>
        <w:t>CAP-002</w:t>
      </w:r>
      <w:r w:rsidRPr="00E440EF">
        <w:rPr>
          <w:rFonts w:ascii="Consolas" w:hAnsi="Consolas" w:cs="Consolas"/>
        </w:rPr>
        <w:t xml:space="preserve">: NCSC NODS Interoperability - The capability to process strict NODS-compliant data payloads conforming to the </w:t>
      </w:r>
      <w:proofErr w:type="spellStart"/>
      <w:r w:rsidRPr="00E440EF">
        <w:rPr>
          <w:rFonts w:ascii="Consolas" w:hAnsi="Consolas" w:cs="Consolas"/>
        </w:rPr>
        <w:t>Psj_Court_Canonical</w:t>
      </w:r>
      <w:proofErr w:type="spellEnd"/>
      <w:r w:rsidRPr="00E440EF">
        <w:rPr>
          <w:rFonts w:ascii="Consolas" w:hAnsi="Consolas" w:cs="Consolas"/>
        </w:rPr>
        <w:t xml:space="preserve"> schema.</w:t>
      </w:r>
    </w:p>
    <w:p w14:paraId="777A332C"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Requirement</w:t>
      </w:r>
    </w:p>
    <w:p w14:paraId="260A13F3"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REQ-001</w:t>
      </w:r>
      <w:r w:rsidRPr="00E440EF">
        <w:rPr>
          <w:rFonts w:ascii="Consolas" w:hAnsi="Consolas" w:cs="Consolas"/>
        </w:rPr>
        <w:t xml:space="preserve">: The system must map incoming case data to the NODS </w:t>
      </w:r>
      <w:proofErr w:type="spellStart"/>
      <w:r w:rsidRPr="00E440EF">
        <w:rPr>
          <w:rFonts w:ascii="Consolas" w:hAnsi="Consolas" w:cs="Consolas"/>
        </w:rPr>
        <w:t>CaseDetail</w:t>
      </w:r>
      <w:proofErr w:type="spellEnd"/>
      <w:r w:rsidRPr="00E440EF">
        <w:rPr>
          <w:rFonts w:ascii="Consolas" w:hAnsi="Consolas" w:cs="Consolas"/>
        </w:rPr>
        <w:t xml:space="preserve">, </w:t>
      </w:r>
      <w:proofErr w:type="spellStart"/>
      <w:r w:rsidRPr="00E440EF">
        <w:rPr>
          <w:rFonts w:ascii="Consolas" w:hAnsi="Consolas" w:cs="Consolas"/>
        </w:rPr>
        <w:t>PartyDetail</w:t>
      </w:r>
      <w:proofErr w:type="spellEnd"/>
      <w:r w:rsidRPr="00E440EF">
        <w:rPr>
          <w:rFonts w:ascii="Consolas" w:hAnsi="Consolas" w:cs="Consolas"/>
        </w:rPr>
        <w:t xml:space="preserve">, </w:t>
      </w:r>
      <w:proofErr w:type="spellStart"/>
      <w:r w:rsidRPr="00E440EF">
        <w:rPr>
          <w:rFonts w:ascii="Consolas" w:hAnsi="Consolas" w:cs="Consolas"/>
        </w:rPr>
        <w:t>ChargeDetail</w:t>
      </w:r>
      <w:proofErr w:type="spellEnd"/>
      <w:r w:rsidRPr="00E440EF">
        <w:rPr>
          <w:rFonts w:ascii="Consolas" w:hAnsi="Consolas" w:cs="Consolas"/>
        </w:rPr>
        <w:t xml:space="preserve">, </w:t>
      </w:r>
      <w:proofErr w:type="spellStart"/>
      <w:r w:rsidRPr="00E440EF">
        <w:rPr>
          <w:rFonts w:ascii="Consolas" w:hAnsi="Consolas" w:cs="Consolas"/>
        </w:rPr>
        <w:t>FilingEvent</w:t>
      </w:r>
      <w:proofErr w:type="spellEnd"/>
      <w:r w:rsidRPr="00E440EF">
        <w:rPr>
          <w:rFonts w:ascii="Consolas" w:hAnsi="Consolas" w:cs="Consolas"/>
        </w:rPr>
        <w:t xml:space="preserve">, and </w:t>
      </w:r>
      <w:proofErr w:type="spellStart"/>
      <w:r w:rsidRPr="00E440EF">
        <w:rPr>
          <w:rFonts w:ascii="Consolas" w:hAnsi="Consolas" w:cs="Consolas"/>
        </w:rPr>
        <w:t>HearingDetail</w:t>
      </w:r>
      <w:proofErr w:type="spellEnd"/>
      <w:r w:rsidRPr="00E440EF">
        <w:rPr>
          <w:rFonts w:ascii="Consolas" w:hAnsi="Consolas" w:cs="Consolas"/>
        </w:rPr>
        <w:t xml:space="preserve"> schema tables. (Fulfills: </w:t>
      </w:r>
      <w:r w:rsidRPr="00E440EF">
        <w:rPr>
          <w:rFonts w:ascii="Consolas" w:hAnsi="Consolas" w:cs="Consolas"/>
          <w:b/>
          <w:bCs/>
        </w:rPr>
        <w:t>CAP-002</w:t>
      </w:r>
      <w:r w:rsidRPr="00E440EF">
        <w:rPr>
          <w:rFonts w:ascii="Consolas" w:hAnsi="Consolas" w:cs="Consolas"/>
        </w:rPr>
        <w:t xml:space="preserve">). </w:t>
      </w:r>
      <w:r w:rsidRPr="00E440EF">
        <w:rPr>
          <w:rFonts w:ascii="Consolas" w:hAnsi="Consolas" w:cs="Consolas"/>
          <w:b/>
          <w:bCs/>
        </w:rPr>
        <w:t>REQ-002</w:t>
      </w:r>
      <w:r w:rsidRPr="00E440EF">
        <w:rPr>
          <w:rFonts w:ascii="Consolas" w:hAnsi="Consolas" w:cs="Consolas"/>
        </w:rPr>
        <w:t xml:space="preserve">: The system must enforce payload encryption and role-based access during ingestion. (Fulfills: </w:t>
      </w:r>
      <w:r w:rsidRPr="00E440EF">
        <w:rPr>
          <w:rFonts w:ascii="Consolas" w:hAnsi="Consolas" w:cs="Consolas"/>
          <w:b/>
          <w:bCs/>
        </w:rPr>
        <w:t>CAP-001</w:t>
      </w:r>
      <w:r w:rsidRPr="00E440EF">
        <w:rPr>
          <w:rFonts w:ascii="Consolas" w:hAnsi="Consolas" w:cs="Consolas"/>
        </w:rPr>
        <w:t xml:space="preserve">). </w:t>
      </w:r>
      <w:r w:rsidRPr="00E440EF">
        <w:rPr>
          <w:rFonts w:ascii="Consolas" w:hAnsi="Consolas" w:cs="Consolas"/>
          <w:b/>
          <w:bCs/>
        </w:rPr>
        <w:t>REQ-003</w:t>
      </w:r>
      <w:r w:rsidRPr="00E440EF">
        <w:rPr>
          <w:rFonts w:ascii="Consolas" w:hAnsi="Consolas" w:cs="Consolas"/>
        </w:rPr>
        <w:t xml:space="preserve">: The system must initiate the case lifecycle with a standard NCSC case status of 'Open/Pending'. (Fulfills: </w:t>
      </w:r>
      <w:r w:rsidRPr="00E440EF">
        <w:rPr>
          <w:rFonts w:ascii="Consolas" w:hAnsi="Consolas" w:cs="Consolas"/>
          <w:b/>
          <w:bCs/>
        </w:rPr>
        <w:t>CAP-001</w:t>
      </w:r>
      <w:r w:rsidRPr="00E440EF">
        <w:rPr>
          <w:rFonts w:ascii="Consolas" w:hAnsi="Consolas" w:cs="Consolas"/>
        </w:rPr>
        <w:t>).</w:t>
      </w:r>
    </w:p>
    <w:p w14:paraId="6BAC1995"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Service</w:t>
      </w:r>
    </w:p>
    <w:p w14:paraId="445E4DD5"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SRV-INTAKE-01</w:t>
      </w:r>
      <w:r w:rsidRPr="00E440EF">
        <w:rPr>
          <w:rFonts w:ascii="Consolas" w:hAnsi="Consolas" w:cs="Consolas"/>
        </w:rPr>
        <w:t xml:space="preserve">: Intake REST Service. A local-first, containerized .NET MACS subsystem handling case payload ingestion. (Implements: </w:t>
      </w:r>
      <w:r w:rsidRPr="00E440EF">
        <w:rPr>
          <w:rFonts w:ascii="Consolas" w:hAnsi="Consolas" w:cs="Consolas"/>
          <w:b/>
          <w:bCs/>
        </w:rPr>
        <w:t>CAP-001</w:t>
      </w:r>
      <w:r w:rsidRPr="00E440EF">
        <w:rPr>
          <w:rFonts w:ascii="Consolas" w:hAnsi="Consolas" w:cs="Consolas"/>
        </w:rPr>
        <w:t xml:space="preserve">, </w:t>
      </w:r>
      <w:r w:rsidRPr="00E440EF">
        <w:rPr>
          <w:rFonts w:ascii="Consolas" w:hAnsi="Consolas" w:cs="Consolas"/>
          <w:b/>
          <w:bCs/>
        </w:rPr>
        <w:t>CAP-002</w:t>
      </w:r>
      <w:r w:rsidRPr="00E440EF">
        <w:rPr>
          <w:rFonts w:ascii="Consolas" w:hAnsi="Consolas" w:cs="Consolas"/>
        </w:rPr>
        <w:t xml:space="preserve">; Uses: </w:t>
      </w:r>
      <w:r w:rsidRPr="00E440EF">
        <w:rPr>
          <w:rFonts w:ascii="Consolas" w:hAnsi="Consolas" w:cs="Consolas"/>
          <w:b/>
          <w:bCs/>
        </w:rPr>
        <w:t>ENT-NODS-CASE</w:t>
      </w:r>
      <w:r w:rsidRPr="00E440EF">
        <w:rPr>
          <w:rFonts w:ascii="Consolas" w:hAnsi="Consolas" w:cs="Consolas"/>
        </w:rPr>
        <w:t xml:space="preserve">, </w:t>
      </w:r>
      <w:r w:rsidRPr="00E440EF">
        <w:rPr>
          <w:rFonts w:ascii="Consolas" w:hAnsi="Consolas" w:cs="Consolas"/>
          <w:b/>
          <w:bCs/>
        </w:rPr>
        <w:t>ENT-NODS-PARTY</w:t>
      </w:r>
      <w:r w:rsidRPr="00E440EF">
        <w:rPr>
          <w:rFonts w:ascii="Consolas" w:hAnsi="Consolas" w:cs="Consolas"/>
        </w:rPr>
        <w:t xml:space="preserve">, </w:t>
      </w:r>
      <w:r w:rsidRPr="00E440EF">
        <w:rPr>
          <w:rFonts w:ascii="Consolas" w:hAnsi="Consolas" w:cs="Consolas"/>
          <w:b/>
          <w:bCs/>
        </w:rPr>
        <w:t>ENT-NODS-CHARGE</w:t>
      </w:r>
      <w:r w:rsidRPr="00E440EF">
        <w:rPr>
          <w:rFonts w:ascii="Consolas" w:hAnsi="Consolas" w:cs="Consolas"/>
        </w:rPr>
        <w:t xml:space="preserve">, </w:t>
      </w:r>
      <w:r w:rsidRPr="00E440EF">
        <w:rPr>
          <w:rFonts w:ascii="Consolas" w:hAnsi="Consolas" w:cs="Consolas"/>
          <w:b/>
          <w:bCs/>
        </w:rPr>
        <w:t>ENT-NODS-FILING</w:t>
      </w:r>
      <w:r w:rsidRPr="00E440EF">
        <w:rPr>
          <w:rFonts w:ascii="Consolas" w:hAnsi="Consolas" w:cs="Consolas"/>
        </w:rPr>
        <w:t xml:space="preserve">, </w:t>
      </w:r>
      <w:r w:rsidRPr="00E440EF">
        <w:rPr>
          <w:rFonts w:ascii="Consolas" w:hAnsi="Consolas" w:cs="Consolas"/>
          <w:b/>
          <w:bCs/>
        </w:rPr>
        <w:t>ENT-NODS-HEARING</w:t>
      </w:r>
      <w:r w:rsidRPr="00E440EF">
        <w:rPr>
          <w:rFonts w:ascii="Consolas" w:hAnsi="Consolas" w:cs="Consolas"/>
        </w:rPr>
        <w:t>).</w:t>
      </w:r>
    </w:p>
    <w:p w14:paraId="70DCC303"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Interface</w:t>
      </w:r>
    </w:p>
    <w:p w14:paraId="603233BD"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INT-001</w:t>
      </w:r>
      <w:r w:rsidRPr="00E440EF">
        <w:rPr>
          <w:rFonts w:ascii="Consolas" w:hAnsi="Consolas" w:cs="Consolas"/>
        </w:rPr>
        <w:t xml:space="preserve">: Case Submission API - A RESTful communication boundary accepting NCSC NODS-compliant JSON payloads. (Connects: </w:t>
      </w:r>
      <w:r w:rsidRPr="00E440EF">
        <w:rPr>
          <w:rFonts w:ascii="Consolas" w:hAnsi="Consolas" w:cs="Consolas"/>
          <w:b/>
          <w:bCs/>
        </w:rPr>
        <w:t>ACT-001</w:t>
      </w:r>
      <w:r w:rsidRPr="00E440EF">
        <w:rPr>
          <w:rFonts w:ascii="Consolas" w:hAnsi="Consolas" w:cs="Consolas"/>
        </w:rPr>
        <w:t xml:space="preserve"> to </w:t>
      </w:r>
      <w:r w:rsidRPr="00E440EF">
        <w:rPr>
          <w:rFonts w:ascii="Consolas" w:hAnsi="Consolas" w:cs="Consolas"/>
          <w:b/>
          <w:bCs/>
        </w:rPr>
        <w:t>SRV-INTAKE-01</w:t>
      </w:r>
      <w:r w:rsidRPr="00E440EF">
        <w:rPr>
          <w:rFonts w:ascii="Consolas" w:hAnsi="Consolas" w:cs="Consolas"/>
        </w:rPr>
        <w:t>).</w:t>
      </w:r>
    </w:p>
    <w:p w14:paraId="00F7B800"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proofErr w:type="spellStart"/>
      <w:r w:rsidRPr="00E440EF">
        <w:rPr>
          <w:rFonts w:ascii="Consolas" w:hAnsi="Consolas" w:cs="Consolas"/>
          <w:b/>
          <w:bCs/>
          <w:sz w:val="27"/>
          <w:szCs w:val="27"/>
        </w:rPr>
        <w:t>DataEntity</w:t>
      </w:r>
      <w:proofErr w:type="spellEnd"/>
    </w:p>
    <w:p w14:paraId="3A5A7F6A"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ENT-NODS-CASE</w:t>
      </w:r>
      <w:r w:rsidRPr="00E440EF">
        <w:rPr>
          <w:rFonts w:ascii="Consolas" w:hAnsi="Consolas" w:cs="Consolas"/>
        </w:rPr>
        <w:t xml:space="preserve">: </w:t>
      </w:r>
      <w:proofErr w:type="spellStart"/>
      <w:r w:rsidRPr="00E440EF">
        <w:rPr>
          <w:rFonts w:ascii="Consolas" w:hAnsi="Consolas" w:cs="Consolas"/>
        </w:rPr>
        <w:t>CaseDetail</w:t>
      </w:r>
      <w:proofErr w:type="spellEnd"/>
      <w:r w:rsidRPr="00E440EF">
        <w:rPr>
          <w:rFonts w:ascii="Consolas" w:hAnsi="Consolas" w:cs="Consolas"/>
        </w:rPr>
        <w:t xml:space="preserve"> - NCSC NODS canonical table representing the court case. </w:t>
      </w:r>
      <w:r w:rsidRPr="00E440EF">
        <w:rPr>
          <w:rFonts w:ascii="Consolas" w:hAnsi="Consolas" w:cs="Consolas"/>
          <w:b/>
          <w:bCs/>
        </w:rPr>
        <w:t>ENT-NODS-PARTY</w:t>
      </w:r>
      <w:r w:rsidRPr="00E440EF">
        <w:rPr>
          <w:rFonts w:ascii="Consolas" w:hAnsi="Consolas" w:cs="Consolas"/>
        </w:rPr>
        <w:t xml:space="preserve">: </w:t>
      </w:r>
      <w:proofErr w:type="spellStart"/>
      <w:r w:rsidRPr="00E440EF">
        <w:rPr>
          <w:rFonts w:ascii="Consolas" w:hAnsi="Consolas" w:cs="Consolas"/>
        </w:rPr>
        <w:t>PartyDetail</w:t>
      </w:r>
      <w:proofErr w:type="spellEnd"/>
      <w:r w:rsidRPr="00E440EF">
        <w:rPr>
          <w:rFonts w:ascii="Consolas" w:hAnsi="Consolas" w:cs="Consolas"/>
        </w:rPr>
        <w:t xml:space="preserve"> - NCSC NODS canonical table representing participants, utilizing structured unique identifiers. </w:t>
      </w:r>
      <w:r w:rsidRPr="00E440EF">
        <w:rPr>
          <w:rFonts w:ascii="Consolas" w:hAnsi="Consolas" w:cs="Consolas"/>
          <w:b/>
          <w:bCs/>
        </w:rPr>
        <w:t>ENT-NODS-CHARGE</w:t>
      </w:r>
      <w:r w:rsidRPr="00E440EF">
        <w:rPr>
          <w:rFonts w:ascii="Consolas" w:hAnsi="Consolas" w:cs="Consolas"/>
        </w:rPr>
        <w:t xml:space="preserve">: </w:t>
      </w:r>
      <w:proofErr w:type="spellStart"/>
      <w:r w:rsidRPr="00E440EF">
        <w:rPr>
          <w:rFonts w:ascii="Consolas" w:hAnsi="Consolas" w:cs="Consolas"/>
        </w:rPr>
        <w:t>ChargeDetail</w:t>
      </w:r>
      <w:proofErr w:type="spellEnd"/>
      <w:r w:rsidRPr="00E440EF">
        <w:rPr>
          <w:rFonts w:ascii="Consolas" w:hAnsi="Consolas" w:cs="Consolas"/>
        </w:rPr>
        <w:t xml:space="preserve"> - NCSC NODS canonical table representing filing charges and related statutes. </w:t>
      </w:r>
      <w:r w:rsidRPr="00E440EF">
        <w:rPr>
          <w:rFonts w:ascii="Consolas" w:hAnsi="Consolas" w:cs="Consolas"/>
          <w:b/>
          <w:bCs/>
        </w:rPr>
        <w:t>ENT-NODS-FILING</w:t>
      </w:r>
      <w:r w:rsidRPr="00E440EF">
        <w:rPr>
          <w:rFonts w:ascii="Consolas" w:hAnsi="Consolas" w:cs="Consolas"/>
        </w:rPr>
        <w:t xml:space="preserve">: </w:t>
      </w:r>
      <w:proofErr w:type="spellStart"/>
      <w:r w:rsidRPr="00E440EF">
        <w:rPr>
          <w:rFonts w:ascii="Consolas" w:hAnsi="Consolas" w:cs="Consolas"/>
        </w:rPr>
        <w:t>FilingEvent</w:t>
      </w:r>
      <w:proofErr w:type="spellEnd"/>
      <w:r w:rsidRPr="00E440EF">
        <w:rPr>
          <w:rFonts w:ascii="Consolas" w:hAnsi="Consolas" w:cs="Consolas"/>
        </w:rPr>
        <w:t xml:space="preserve"> - NCSC NODS canonical table representing specific filing events. </w:t>
      </w:r>
      <w:r w:rsidRPr="00E440EF">
        <w:rPr>
          <w:rFonts w:ascii="Consolas" w:hAnsi="Consolas" w:cs="Consolas"/>
          <w:b/>
          <w:bCs/>
        </w:rPr>
        <w:t>ENT-NODS-HEARING</w:t>
      </w:r>
      <w:r w:rsidRPr="00E440EF">
        <w:rPr>
          <w:rFonts w:ascii="Consolas" w:hAnsi="Consolas" w:cs="Consolas"/>
        </w:rPr>
        <w:t xml:space="preserve">: </w:t>
      </w:r>
      <w:proofErr w:type="spellStart"/>
      <w:r w:rsidRPr="00E440EF">
        <w:rPr>
          <w:rFonts w:ascii="Consolas" w:hAnsi="Consolas" w:cs="Consolas"/>
        </w:rPr>
        <w:t>HearingDetail</w:t>
      </w:r>
      <w:proofErr w:type="spellEnd"/>
      <w:r w:rsidRPr="00E440EF">
        <w:rPr>
          <w:rFonts w:ascii="Consolas" w:hAnsi="Consolas" w:cs="Consolas"/>
        </w:rPr>
        <w:t xml:space="preserve"> - NCSC NODS canonical table representing specific scheduled hearing details.</w:t>
      </w:r>
    </w:p>
    <w:p w14:paraId="3CD6CDD1"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Workflow</w:t>
      </w:r>
    </w:p>
    <w:p w14:paraId="17A294BC"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WKF-001</w:t>
      </w:r>
      <w:r w:rsidRPr="00E440EF">
        <w:rPr>
          <w:rFonts w:ascii="Consolas" w:hAnsi="Consolas" w:cs="Consolas"/>
        </w:rPr>
        <w:t xml:space="preserve">: Intake Validation Process - Step-by-step state transition where a payload is received via </w:t>
      </w:r>
      <w:r w:rsidRPr="00E440EF">
        <w:rPr>
          <w:rFonts w:ascii="Consolas" w:hAnsi="Consolas" w:cs="Consolas"/>
          <w:b/>
          <w:bCs/>
        </w:rPr>
        <w:t>INT-001</w:t>
      </w:r>
      <w:r w:rsidRPr="00E440EF">
        <w:rPr>
          <w:rFonts w:ascii="Consolas" w:hAnsi="Consolas" w:cs="Consolas"/>
        </w:rPr>
        <w:t xml:space="preserve">, validated for schema adherence against NODS entities per </w:t>
      </w:r>
      <w:r w:rsidRPr="00E440EF">
        <w:rPr>
          <w:rFonts w:ascii="Consolas" w:hAnsi="Consolas" w:cs="Consolas"/>
          <w:b/>
          <w:bCs/>
        </w:rPr>
        <w:t>REQ-001</w:t>
      </w:r>
      <w:r w:rsidRPr="00E440EF">
        <w:rPr>
          <w:rFonts w:ascii="Consolas" w:hAnsi="Consolas" w:cs="Consolas"/>
        </w:rPr>
        <w:t xml:space="preserve">, and routed for </w:t>
      </w:r>
      <w:r w:rsidRPr="00E440EF">
        <w:rPr>
          <w:rFonts w:ascii="Consolas" w:hAnsi="Consolas" w:cs="Consolas"/>
          <w:b/>
          <w:bCs/>
        </w:rPr>
        <w:t>ACT-002</w:t>
      </w:r>
      <w:r w:rsidRPr="00E440EF">
        <w:rPr>
          <w:rFonts w:ascii="Consolas" w:hAnsi="Consolas" w:cs="Consolas"/>
        </w:rPr>
        <w:t xml:space="preserve"> review if data quality exception rules flag the payload.</w:t>
      </w:r>
    </w:p>
    <w:p w14:paraId="5330A08D"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Policy</w:t>
      </w:r>
    </w:p>
    <w:p w14:paraId="0B8C1A2B"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lastRenderedPageBreak/>
        <w:t>POL-CJIS-001</w:t>
      </w:r>
      <w:r w:rsidRPr="00E440EF">
        <w:rPr>
          <w:rFonts w:ascii="Consolas" w:hAnsi="Consolas" w:cs="Consolas"/>
        </w:rPr>
        <w:t xml:space="preserve">: CJIS Security Policy [Mandatory] - All data entities must be encrypted in transit and at rest. (Constrains: </w:t>
      </w:r>
      <w:r w:rsidRPr="00E440EF">
        <w:rPr>
          <w:rFonts w:ascii="Consolas" w:hAnsi="Consolas" w:cs="Consolas"/>
          <w:b/>
          <w:bCs/>
        </w:rPr>
        <w:t>SRV-INTAKE-01</w:t>
      </w:r>
      <w:r w:rsidRPr="00E440EF">
        <w:rPr>
          <w:rFonts w:ascii="Consolas" w:hAnsi="Consolas" w:cs="Consolas"/>
        </w:rPr>
        <w:t xml:space="preserve">). </w:t>
      </w:r>
      <w:r w:rsidRPr="00E440EF">
        <w:rPr>
          <w:rFonts w:ascii="Consolas" w:hAnsi="Consolas" w:cs="Consolas"/>
          <w:b/>
          <w:bCs/>
        </w:rPr>
        <w:t>POL-NIST-001</w:t>
      </w:r>
      <w:r w:rsidRPr="00E440EF">
        <w:rPr>
          <w:rFonts w:ascii="Consolas" w:hAnsi="Consolas" w:cs="Consolas"/>
        </w:rPr>
        <w:t xml:space="preserve">: NIST 800-53 Zero Trust Access [Mandatory] - All </w:t>
      </w:r>
      <w:r w:rsidRPr="00E440EF">
        <w:rPr>
          <w:rFonts w:ascii="Consolas" w:hAnsi="Consolas" w:cs="Consolas"/>
          <w:b/>
          <w:bCs/>
        </w:rPr>
        <w:t>ACT-001</w:t>
      </w:r>
      <w:r w:rsidRPr="00E440EF">
        <w:rPr>
          <w:rFonts w:ascii="Consolas" w:hAnsi="Consolas" w:cs="Consolas"/>
        </w:rPr>
        <w:t xml:space="preserve"> submissions require strict authentication utilizing OAuth with Entra ID. (Constrains: </w:t>
      </w:r>
      <w:r w:rsidRPr="00E440EF">
        <w:rPr>
          <w:rFonts w:ascii="Consolas" w:hAnsi="Consolas" w:cs="Consolas"/>
          <w:b/>
          <w:bCs/>
        </w:rPr>
        <w:t>INT-001</w:t>
      </w:r>
      <w:r w:rsidRPr="00E440EF">
        <w:rPr>
          <w:rFonts w:ascii="Consolas" w:hAnsi="Consolas" w:cs="Consolas"/>
        </w:rPr>
        <w:t xml:space="preserve">). </w:t>
      </w:r>
      <w:r w:rsidRPr="00E440EF">
        <w:rPr>
          <w:rFonts w:ascii="Consolas" w:hAnsi="Consolas" w:cs="Consolas"/>
          <w:b/>
          <w:bCs/>
        </w:rPr>
        <w:t>POL-NCSC-001</w:t>
      </w:r>
      <w:r w:rsidRPr="00E440EF">
        <w:rPr>
          <w:rFonts w:ascii="Consolas" w:hAnsi="Consolas" w:cs="Consolas"/>
        </w:rPr>
        <w:t xml:space="preserve">: NCSC Data Governance Quality [Mandatory] - The system must execute deterministic data validation rules on all incoming payloads. (Constrains: </w:t>
      </w:r>
      <w:r w:rsidRPr="00E440EF">
        <w:rPr>
          <w:rFonts w:ascii="Consolas" w:hAnsi="Consolas" w:cs="Consolas"/>
          <w:b/>
          <w:bCs/>
        </w:rPr>
        <w:t>SRV-INTAKE-01</w:t>
      </w:r>
      <w:r w:rsidRPr="00E440EF">
        <w:rPr>
          <w:rFonts w:ascii="Consolas" w:hAnsi="Consolas" w:cs="Consolas"/>
        </w:rPr>
        <w:t xml:space="preserve">). </w:t>
      </w:r>
      <w:r w:rsidRPr="00E440EF">
        <w:rPr>
          <w:rFonts w:ascii="Consolas" w:hAnsi="Consolas" w:cs="Consolas"/>
          <w:b/>
          <w:bCs/>
        </w:rPr>
        <w:t>POL-PII-001</w:t>
      </w:r>
      <w:r w:rsidRPr="00E440EF">
        <w:rPr>
          <w:rFonts w:ascii="Consolas" w:hAnsi="Consolas" w:cs="Consolas"/>
        </w:rPr>
        <w:t xml:space="preserve">: PII Data Protection [Mandatory] - PII information should not be explicitly included in any payload. If PII is found, the system must generate a notification for immediate soft deletion or removal in accordance with CJIS policies. (Constrains: </w:t>
      </w:r>
      <w:r w:rsidRPr="00E440EF">
        <w:rPr>
          <w:rFonts w:ascii="Consolas" w:hAnsi="Consolas" w:cs="Consolas"/>
          <w:b/>
          <w:bCs/>
        </w:rPr>
        <w:t>ENT-NODS-PARTY</w:t>
      </w:r>
      <w:r w:rsidRPr="00E440EF">
        <w:rPr>
          <w:rFonts w:ascii="Consolas" w:hAnsi="Consolas" w:cs="Consolas"/>
        </w:rPr>
        <w:t xml:space="preserve">, </w:t>
      </w:r>
      <w:r w:rsidRPr="00E440EF">
        <w:rPr>
          <w:rFonts w:ascii="Consolas" w:hAnsi="Consolas" w:cs="Consolas"/>
          <w:b/>
          <w:bCs/>
        </w:rPr>
        <w:t>SRV-INTAKE-01</w:t>
      </w:r>
      <w:r w:rsidRPr="00E440EF">
        <w:rPr>
          <w:rFonts w:ascii="Consolas" w:hAnsi="Consolas" w:cs="Consolas"/>
        </w:rPr>
        <w:t>).</w:t>
      </w:r>
    </w:p>
    <w:p w14:paraId="18D4880A"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Infrastructure</w:t>
      </w:r>
    </w:p>
    <w:p w14:paraId="2C73A5C0"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INF-001</w:t>
      </w:r>
      <w:r w:rsidRPr="00E440EF">
        <w:rPr>
          <w:rFonts w:ascii="Consolas" w:hAnsi="Consolas" w:cs="Consolas"/>
        </w:rPr>
        <w:t>: Local-first, containerized .NET MACS runtime environment.</w:t>
      </w:r>
    </w:p>
    <w:p w14:paraId="6BAA807A"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Validation</w:t>
      </w:r>
    </w:p>
    <w:p w14:paraId="070FBE56"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VAL-001</w:t>
      </w:r>
      <w:r w:rsidRPr="00E440EF">
        <w:rPr>
          <w:rFonts w:ascii="Consolas" w:hAnsi="Consolas" w:cs="Consolas"/>
        </w:rPr>
        <w:t xml:space="preserve">: NODS Schema Validation - Deterministic rule mapped to Schema Validation Plugin to verify </w:t>
      </w:r>
      <w:r w:rsidRPr="00E440EF">
        <w:rPr>
          <w:rFonts w:ascii="Consolas" w:hAnsi="Consolas" w:cs="Consolas"/>
          <w:b/>
          <w:bCs/>
        </w:rPr>
        <w:t>INT-001</w:t>
      </w:r>
      <w:r w:rsidRPr="00E440EF">
        <w:rPr>
          <w:rFonts w:ascii="Consolas" w:hAnsi="Consolas" w:cs="Consolas"/>
        </w:rPr>
        <w:t xml:space="preserve"> payloads strictly match the </w:t>
      </w:r>
      <w:proofErr w:type="spellStart"/>
      <w:r w:rsidRPr="00E440EF">
        <w:rPr>
          <w:rFonts w:ascii="Consolas" w:hAnsi="Consolas" w:cs="Consolas"/>
        </w:rPr>
        <w:t>Psj_Court_Canonical</w:t>
      </w:r>
      <w:proofErr w:type="spellEnd"/>
      <w:r w:rsidRPr="00E440EF">
        <w:rPr>
          <w:rFonts w:ascii="Consolas" w:hAnsi="Consolas" w:cs="Consolas"/>
        </w:rPr>
        <w:t xml:space="preserve"> structures. (Verifies: </w:t>
      </w:r>
      <w:r w:rsidRPr="00E440EF">
        <w:rPr>
          <w:rFonts w:ascii="Consolas" w:hAnsi="Consolas" w:cs="Consolas"/>
          <w:b/>
          <w:bCs/>
        </w:rPr>
        <w:t>REQ-001</w:t>
      </w:r>
      <w:r w:rsidRPr="00E440EF">
        <w:rPr>
          <w:rFonts w:ascii="Consolas" w:hAnsi="Consolas" w:cs="Consolas"/>
        </w:rPr>
        <w:t xml:space="preserve">, </w:t>
      </w:r>
      <w:r w:rsidRPr="00E440EF">
        <w:rPr>
          <w:rFonts w:ascii="Consolas" w:hAnsi="Consolas" w:cs="Consolas"/>
          <w:b/>
          <w:bCs/>
        </w:rPr>
        <w:t>POL-NCSC-001</w:t>
      </w:r>
      <w:r w:rsidRPr="00E440EF">
        <w:rPr>
          <w:rFonts w:ascii="Consolas" w:hAnsi="Consolas" w:cs="Consolas"/>
        </w:rPr>
        <w:t xml:space="preserve">). </w:t>
      </w:r>
      <w:r w:rsidRPr="00E440EF">
        <w:rPr>
          <w:rFonts w:ascii="Consolas" w:hAnsi="Consolas" w:cs="Consolas"/>
          <w:b/>
          <w:bCs/>
        </w:rPr>
        <w:t>VAL-002</w:t>
      </w:r>
      <w:r w:rsidRPr="00E440EF">
        <w:rPr>
          <w:rFonts w:ascii="Consolas" w:hAnsi="Consolas" w:cs="Consolas"/>
        </w:rPr>
        <w:t xml:space="preserve">: Encryption Verification - Deterministic rule mapped to Static Analysis Security Scanner to ensure </w:t>
      </w:r>
      <w:r w:rsidRPr="00E440EF">
        <w:rPr>
          <w:rFonts w:ascii="Consolas" w:hAnsi="Consolas" w:cs="Consolas"/>
          <w:b/>
          <w:bCs/>
        </w:rPr>
        <w:t>POL-CJIS-001</w:t>
      </w:r>
      <w:r w:rsidRPr="00E440EF">
        <w:rPr>
          <w:rFonts w:ascii="Consolas" w:hAnsi="Consolas" w:cs="Consolas"/>
        </w:rPr>
        <w:t xml:space="preserve"> compliance. (Verifies: </w:t>
      </w:r>
      <w:r w:rsidRPr="00E440EF">
        <w:rPr>
          <w:rFonts w:ascii="Consolas" w:hAnsi="Consolas" w:cs="Consolas"/>
          <w:b/>
          <w:bCs/>
        </w:rPr>
        <w:t>REQ-002</w:t>
      </w:r>
      <w:r w:rsidRPr="00E440EF">
        <w:rPr>
          <w:rFonts w:ascii="Consolas" w:hAnsi="Consolas" w:cs="Consolas"/>
        </w:rPr>
        <w:t xml:space="preserve">, </w:t>
      </w:r>
      <w:r w:rsidRPr="00E440EF">
        <w:rPr>
          <w:rFonts w:ascii="Consolas" w:hAnsi="Consolas" w:cs="Consolas"/>
          <w:b/>
          <w:bCs/>
        </w:rPr>
        <w:t>POL-CJIS-001</w:t>
      </w:r>
      <w:r w:rsidRPr="00E440EF">
        <w:rPr>
          <w:rFonts w:ascii="Consolas" w:hAnsi="Consolas" w:cs="Consolas"/>
        </w:rPr>
        <w:t xml:space="preserve">). </w:t>
      </w:r>
      <w:r w:rsidRPr="00E440EF">
        <w:rPr>
          <w:rFonts w:ascii="Consolas" w:hAnsi="Consolas" w:cs="Consolas"/>
          <w:b/>
          <w:bCs/>
        </w:rPr>
        <w:t>VAL-003</w:t>
      </w:r>
      <w:r w:rsidRPr="00E440EF">
        <w:rPr>
          <w:rFonts w:ascii="Consolas" w:hAnsi="Consolas" w:cs="Consolas"/>
        </w:rPr>
        <w:t xml:space="preserve">: Entra ID Authentication Validation - Deterministic rule mapped to Identity Provider Testing Plugin to ensure all API calls supply a valid OAuth token. (Verifies: </w:t>
      </w:r>
      <w:r w:rsidRPr="00E440EF">
        <w:rPr>
          <w:rFonts w:ascii="Consolas" w:hAnsi="Consolas" w:cs="Consolas"/>
          <w:b/>
          <w:bCs/>
        </w:rPr>
        <w:t>POL-NIST-001</w:t>
      </w:r>
      <w:r w:rsidRPr="00E440EF">
        <w:rPr>
          <w:rFonts w:ascii="Consolas" w:hAnsi="Consolas" w:cs="Consolas"/>
        </w:rPr>
        <w:t xml:space="preserve">). </w:t>
      </w:r>
      <w:r w:rsidRPr="00E440EF">
        <w:rPr>
          <w:rFonts w:ascii="Consolas" w:hAnsi="Consolas" w:cs="Consolas"/>
          <w:b/>
          <w:bCs/>
        </w:rPr>
        <w:t>VAL-004</w:t>
      </w:r>
      <w:r w:rsidRPr="00E440EF">
        <w:rPr>
          <w:rFonts w:ascii="Consolas" w:hAnsi="Consolas" w:cs="Consolas"/>
        </w:rPr>
        <w:t xml:space="preserve">: PII Scanning &amp; Masking Validation - Deterministic rule mapped to PII Scanner Plugin to ensure flagged PII payloads trigger automated notifications and soft-deletion mechanisms. (Verifies: </w:t>
      </w:r>
      <w:r w:rsidRPr="00E440EF">
        <w:rPr>
          <w:rFonts w:ascii="Consolas" w:hAnsi="Consolas" w:cs="Consolas"/>
          <w:b/>
          <w:bCs/>
        </w:rPr>
        <w:t>POL-PII-001</w:t>
      </w:r>
      <w:r w:rsidRPr="00E440EF">
        <w:rPr>
          <w:rFonts w:ascii="Consolas" w:hAnsi="Consolas" w:cs="Consolas"/>
        </w:rPr>
        <w:t>).</w:t>
      </w:r>
    </w:p>
    <w:p w14:paraId="2CD88AD4" w14:textId="77777777" w:rsidR="004A2D8B" w:rsidRPr="00E440EF" w:rsidRDefault="004A2D8B" w:rsidP="00E440EF">
      <w:pPr>
        <w:spacing w:before="240" w:after="120"/>
        <w:rPr>
          <w:rFonts w:ascii="Calibri" w:hAnsi="Calibri" w:cs="Calibri"/>
        </w:rPr>
      </w:pPr>
      <w:r w:rsidRPr="00E440EF">
        <w:rPr>
          <w:rFonts w:ascii="Calibri" w:hAnsi="Calibri" w:cs="Calibri"/>
          <w:b/>
          <w:bCs/>
        </w:rPr>
        <w:t>Next Steps:</w:t>
      </w:r>
      <w:r w:rsidRPr="00E440EF">
        <w:rPr>
          <w:rFonts w:ascii="Calibri" w:hAnsi="Calibri" w:cs="Calibri"/>
        </w:rPr>
        <w:t xml:space="preserve"> Currently, this drafted blueprint is at the </w:t>
      </w:r>
      <w:r w:rsidRPr="00E440EF">
        <w:rPr>
          <w:rFonts w:ascii="Calibri" w:hAnsi="Calibri" w:cs="Calibri"/>
          <w:b/>
          <w:bCs/>
        </w:rPr>
        <w:t>Reviewable Level</w:t>
      </w:r>
      <w:r w:rsidRPr="00E440EF">
        <w:rPr>
          <w:rFonts w:ascii="Calibri" w:hAnsi="Calibri" w:cs="Calibri"/>
        </w:rPr>
        <w:t xml:space="preserve">. To advance it to the </w:t>
      </w:r>
      <w:r w:rsidRPr="00E440EF">
        <w:rPr>
          <w:rFonts w:ascii="Calibri" w:hAnsi="Calibri" w:cs="Calibri"/>
          <w:b/>
          <w:bCs/>
        </w:rPr>
        <w:t>Machine-Valid</w:t>
      </w:r>
      <w:r w:rsidRPr="00E440EF">
        <w:rPr>
          <w:rFonts w:ascii="Calibri" w:hAnsi="Calibri" w:cs="Calibri"/>
        </w:rPr>
        <w:t xml:space="preserve"> and </w:t>
      </w:r>
      <w:r w:rsidRPr="00E440EF">
        <w:rPr>
          <w:rFonts w:ascii="Calibri" w:hAnsi="Calibri" w:cs="Calibri"/>
          <w:b/>
          <w:bCs/>
        </w:rPr>
        <w:t>Autonomous-Ready</w:t>
      </w:r>
      <w:r w:rsidRPr="00E440EF">
        <w:rPr>
          <w:rFonts w:ascii="Calibri" w:hAnsi="Calibri" w:cs="Calibri"/>
        </w:rPr>
        <w:t xml:space="preserve"> levels, it must now successfully pass through formal </w:t>
      </w:r>
      <w:r w:rsidRPr="00E440EF">
        <w:rPr>
          <w:rFonts w:ascii="Calibri" w:hAnsi="Calibri" w:cs="Calibri"/>
          <w:b/>
          <w:bCs/>
        </w:rPr>
        <w:t>Approval Gates</w:t>
      </w:r>
      <w:r w:rsidRPr="00E440EF">
        <w:rPr>
          <w:rFonts w:ascii="Calibri" w:hAnsi="Calibri" w:cs="Calibri"/>
        </w:rPr>
        <w:t>.</w:t>
      </w:r>
    </w:p>
    <w:p w14:paraId="0A52A48A" w14:textId="77777777" w:rsidR="004A2D8B" w:rsidRPr="00E440EF" w:rsidRDefault="004A2D8B" w:rsidP="00E440EF">
      <w:pPr>
        <w:spacing w:after="120"/>
        <w:rPr>
          <w:rFonts w:ascii="Calibri" w:hAnsi="Calibri" w:cs="Calibri"/>
        </w:rPr>
      </w:pPr>
      <w:r w:rsidRPr="00E440EF">
        <w:rPr>
          <w:rFonts w:ascii="Calibri" w:hAnsi="Calibri" w:cs="Calibri"/>
        </w:rPr>
        <w:t>IT Architects, Security Validators, and the Chief Data Officer/Court Auditors must review and sign off on the architecture, tool mapping, and policy integrations. Once approved and committed to the Artifact Repository, the Agent Orchestrator and Planning Engine will assume control and begin autonomously generating the .NET source code.</w:t>
      </w:r>
    </w:p>
    <w:p w14:paraId="49731E0D" w14:textId="77777777" w:rsidR="00B951F6" w:rsidRPr="00E440EF" w:rsidRDefault="00B951F6" w:rsidP="00E440EF">
      <w:pPr>
        <w:pStyle w:val="NormalWeb"/>
        <w:spacing w:before="0" w:beforeAutospacing="0" w:after="120" w:afterAutospacing="0"/>
        <w:rPr>
          <w:rFonts w:ascii="Calibri" w:hAnsi="Calibri" w:cs="Calibri"/>
        </w:rPr>
      </w:pPr>
      <w:r w:rsidRPr="00E440EF">
        <w:rPr>
          <w:rFonts w:ascii="Calibri" w:hAnsi="Calibri" w:cs="Calibri"/>
        </w:rPr>
        <w:t xml:space="preserve">With the blueprint successfully committed to the Artifact Repository and the platform operating at the </w:t>
      </w:r>
      <w:r w:rsidRPr="00E440EF">
        <w:rPr>
          <w:rStyle w:val="Strong"/>
          <w:rFonts w:ascii="Calibri" w:hAnsi="Calibri" w:cs="Calibri"/>
        </w:rPr>
        <w:t>Autonomous-Ready Level</w:t>
      </w:r>
      <w:r w:rsidRPr="00E440EF">
        <w:rPr>
          <w:rFonts w:ascii="Calibri" w:hAnsi="Calibri" w:cs="Calibri"/>
        </w:rPr>
        <w:t xml:space="preserve">, human intervention pauses and the IMHOTEP Execution Runtime assumes control. The Planning Engine generates the construction task graph, and the Agent Orchestrator dispatches the </w:t>
      </w:r>
      <w:r w:rsidRPr="00E440EF">
        <w:rPr>
          <w:rStyle w:val="Strong"/>
          <w:rFonts w:ascii="Calibri" w:hAnsi="Calibri" w:cs="Calibri"/>
        </w:rPr>
        <w:t>Implementation Generator</w:t>
      </w:r>
      <w:r w:rsidRPr="00E440EF">
        <w:rPr>
          <w:rFonts w:ascii="Calibri" w:hAnsi="Calibri" w:cs="Calibri"/>
        </w:rPr>
        <w:t xml:space="preserve"> to begin producing the .NET REST service. As the code is generated, the platform continuously relies on the Tool Plugin Architecture to execute deterministic validation (e.g., running the Schema Validation Plugin to verify </w:t>
      </w:r>
      <w:r w:rsidRPr="00E440EF">
        <w:rPr>
          <w:rStyle w:val="HTMLCode"/>
          <w:rFonts w:ascii="Calibri" w:hAnsi="Calibri" w:cs="Calibri"/>
        </w:rPr>
        <w:t>VAL-001</w:t>
      </w:r>
      <w:r w:rsidRPr="00E440EF">
        <w:rPr>
          <w:rFonts w:ascii="Calibri" w:hAnsi="Calibri" w:cs="Calibri"/>
        </w:rPr>
        <w:t xml:space="preserve"> against the NCSC </w:t>
      </w:r>
      <w:proofErr w:type="spellStart"/>
      <w:r w:rsidRPr="00E440EF">
        <w:rPr>
          <w:rStyle w:val="HTMLCode"/>
          <w:rFonts w:ascii="Calibri" w:hAnsi="Calibri" w:cs="Calibri"/>
        </w:rPr>
        <w:t>Psj_Court_Canonical</w:t>
      </w:r>
      <w:proofErr w:type="spellEnd"/>
      <w:r w:rsidRPr="00E440EF">
        <w:rPr>
          <w:rFonts w:ascii="Calibri" w:hAnsi="Calibri" w:cs="Calibri"/>
        </w:rPr>
        <w:t xml:space="preserve"> schema).</w:t>
      </w:r>
    </w:p>
    <w:p w14:paraId="6054B542" w14:textId="77777777" w:rsidR="00B951F6" w:rsidRPr="00E440EF" w:rsidRDefault="00B951F6" w:rsidP="00E440EF">
      <w:pPr>
        <w:pStyle w:val="NormalWeb"/>
        <w:spacing w:before="0" w:beforeAutospacing="0" w:after="120" w:afterAutospacing="0"/>
        <w:rPr>
          <w:rFonts w:ascii="Calibri" w:hAnsi="Calibri" w:cs="Calibri"/>
        </w:rPr>
      </w:pPr>
      <w:r w:rsidRPr="00E440EF">
        <w:rPr>
          <w:rFonts w:ascii="Calibri" w:hAnsi="Calibri" w:cs="Calibri"/>
        </w:rPr>
        <w:lastRenderedPageBreak/>
        <w:t>However, an enterprise-grade Autonomous Software Development Lifecycle (SDLC) cannot assume infinite convergence. The system must account for what happens when the machine encounters a structural conflict it cannot autonomously resolve.</w:t>
      </w:r>
    </w:p>
    <w:p w14:paraId="09A92D2B" w14:textId="77777777" w:rsidR="00E440EF" w:rsidRPr="00E440EF" w:rsidRDefault="00B951F6" w:rsidP="00B951F6">
      <w:pPr>
        <w:pStyle w:val="Heading1"/>
        <w:rPr>
          <w:rFonts w:ascii="Calibri" w:hAnsi="Calibri" w:cs="Calibri"/>
        </w:rPr>
      </w:pPr>
      <w:r w:rsidRPr="00E440EF">
        <w:rPr>
          <w:rFonts w:ascii="Calibri" w:hAnsi="Calibri" w:cs="Calibri"/>
        </w:rPr>
        <w:t>Human-Machine Escalation</w:t>
      </w:r>
    </w:p>
    <w:p w14:paraId="2CBA8B55" w14:textId="1CE49EB4" w:rsidR="00B951F6" w:rsidRPr="00E440EF" w:rsidRDefault="00B951F6" w:rsidP="00E440EF">
      <w:pPr>
        <w:pStyle w:val="Heading2"/>
        <w:rPr>
          <w:rFonts w:ascii="Calibri" w:hAnsi="Calibri" w:cs="Calibri"/>
        </w:rPr>
      </w:pPr>
      <w:r w:rsidRPr="00E440EF">
        <w:rPr>
          <w:rFonts w:ascii="Calibri" w:hAnsi="Calibri" w:cs="Calibri"/>
        </w:rPr>
        <w:t>The Exception Handling Pathway</w:t>
      </w:r>
    </w:p>
    <w:p w14:paraId="0B7FF401" w14:textId="77777777" w:rsidR="00B951F6" w:rsidRPr="00E440EF" w:rsidRDefault="00B951F6" w:rsidP="00E440EF">
      <w:pPr>
        <w:pStyle w:val="NormalWeb"/>
        <w:spacing w:before="120" w:beforeAutospacing="0" w:after="120" w:afterAutospacing="0"/>
        <w:rPr>
          <w:rFonts w:ascii="Calibri" w:hAnsi="Calibri" w:cs="Calibri"/>
        </w:rPr>
      </w:pPr>
      <w:r w:rsidRPr="00E440EF">
        <w:rPr>
          <w:rFonts w:ascii="Calibri" w:hAnsi="Calibri" w:cs="Calibri"/>
        </w:rPr>
        <w:t xml:space="preserve">In the IMHOTEP architecture, the </w:t>
      </w:r>
      <w:r w:rsidRPr="00E440EF">
        <w:rPr>
          <w:rStyle w:val="Strong"/>
          <w:rFonts w:ascii="Calibri" w:hAnsi="Calibri" w:cs="Calibri"/>
        </w:rPr>
        <w:t>Execution Runtime</w:t>
      </w:r>
      <w:r w:rsidRPr="00E440EF">
        <w:rPr>
          <w:rFonts w:ascii="Calibri" w:hAnsi="Calibri" w:cs="Calibri"/>
        </w:rPr>
        <w:t xml:space="preserve"> continuously loops through validation and automated repair cycles. If a generated artifact—such as the .NET Case Submission API (</w:t>
      </w:r>
      <w:r w:rsidRPr="00E440EF">
        <w:rPr>
          <w:rStyle w:val="HTMLCode"/>
          <w:rFonts w:ascii="Calibri" w:hAnsi="Calibri" w:cs="Calibri"/>
        </w:rPr>
        <w:t>INT-001</w:t>
      </w:r>
      <w:r w:rsidRPr="00E440EF">
        <w:rPr>
          <w:rFonts w:ascii="Calibri" w:hAnsi="Calibri" w:cs="Calibri"/>
        </w:rPr>
        <w:t xml:space="preserve">)—fails deterministic validation, the </w:t>
      </w:r>
      <w:r w:rsidRPr="00E440EF">
        <w:rPr>
          <w:rStyle w:val="Strong"/>
          <w:rFonts w:ascii="Calibri" w:hAnsi="Calibri" w:cs="Calibri"/>
        </w:rPr>
        <w:t>Repair Analyst</w:t>
      </w:r>
      <w:r w:rsidRPr="00E440EF">
        <w:rPr>
          <w:rFonts w:ascii="Calibri" w:hAnsi="Calibri" w:cs="Calibri"/>
        </w:rPr>
        <w:t xml:space="preserve"> agent is invoked to diagnose the failure, and the Implementation Generator regenerates the code.</w:t>
      </w:r>
    </w:p>
    <w:p w14:paraId="46C07FB6" w14:textId="77777777" w:rsidR="00B951F6" w:rsidRPr="00E440EF" w:rsidRDefault="00B951F6" w:rsidP="00E440EF">
      <w:pPr>
        <w:pStyle w:val="NormalWeb"/>
        <w:spacing w:before="120" w:beforeAutospacing="0" w:after="120" w:afterAutospacing="0"/>
        <w:rPr>
          <w:rFonts w:ascii="Calibri" w:hAnsi="Calibri" w:cs="Calibri"/>
        </w:rPr>
      </w:pPr>
      <w:r w:rsidRPr="00E440EF">
        <w:rPr>
          <w:rFonts w:ascii="Calibri" w:hAnsi="Calibri" w:cs="Calibri"/>
        </w:rPr>
        <w:t xml:space="preserve">But if the Repair Analyst exhausts its repair cycles without achieving convergence—for example, if a newly introduced .NET library dependency fundamentally conflicts with the mandatory CJIS encryption policy defined in </w:t>
      </w:r>
      <w:r w:rsidRPr="00E440EF">
        <w:rPr>
          <w:rStyle w:val="HTMLCode"/>
          <w:rFonts w:ascii="Calibri" w:hAnsi="Calibri" w:cs="Calibri"/>
        </w:rPr>
        <w:t>POL-CJIS-001</w:t>
      </w:r>
      <w:r w:rsidRPr="00E440EF">
        <w:rPr>
          <w:rFonts w:ascii="Calibri" w:hAnsi="Calibri" w:cs="Calibri"/>
        </w:rPr>
        <w:t>—the platform will not silently fail or indefinitely guess. Instead, it invokes formal exception handling protocols.</w:t>
      </w:r>
    </w:p>
    <w:p w14:paraId="61F04F8B" w14:textId="77777777" w:rsidR="00B951F6" w:rsidRPr="00E440EF" w:rsidRDefault="00B951F6" w:rsidP="00E440EF">
      <w:pPr>
        <w:pStyle w:val="NormalWeb"/>
        <w:spacing w:before="120" w:beforeAutospacing="0" w:after="120" w:afterAutospacing="0"/>
        <w:rPr>
          <w:rFonts w:ascii="Calibri" w:hAnsi="Calibri" w:cs="Calibri"/>
        </w:rPr>
      </w:pPr>
      <w:r w:rsidRPr="00E440EF">
        <w:rPr>
          <w:rFonts w:ascii="Calibri" w:hAnsi="Calibri" w:cs="Calibri"/>
        </w:rPr>
        <w:t xml:space="preserve">At this exact point, the IMHOTEP platform triggers a </w:t>
      </w:r>
      <w:r w:rsidRPr="00E440EF">
        <w:rPr>
          <w:rStyle w:val="Strong"/>
          <w:rFonts w:ascii="Calibri" w:hAnsi="Calibri" w:cs="Calibri"/>
        </w:rPr>
        <w:t>Human-Machine Escalation</w:t>
      </w:r>
      <w:r w:rsidRPr="00E440EF">
        <w:rPr>
          <w:rFonts w:ascii="Calibri" w:hAnsi="Calibri" w:cs="Calibri"/>
        </w:rPr>
        <w:t xml:space="preserve">. The Execution Runtime halts the blocked branch of the construction task graph and generates a formal </w:t>
      </w:r>
      <w:r w:rsidRPr="00E440EF">
        <w:rPr>
          <w:rStyle w:val="Strong"/>
          <w:rFonts w:ascii="Calibri" w:hAnsi="Calibri" w:cs="Calibri"/>
        </w:rPr>
        <w:t>Escalation Payload</w:t>
      </w:r>
      <w:r w:rsidRPr="00E440EF">
        <w:rPr>
          <w:rFonts w:ascii="Calibri" w:hAnsi="Calibri" w:cs="Calibri"/>
        </w:rPr>
        <w:t>. This payload acts as the ultimate digital "Andon Cord," formally pausing autonomous execution for the affected component and requesting human intervention.</w:t>
      </w:r>
    </w:p>
    <w:p w14:paraId="5B286CF3" w14:textId="77777777" w:rsidR="00B951F6" w:rsidRPr="00E440EF" w:rsidRDefault="00B951F6" w:rsidP="00E440EF">
      <w:pPr>
        <w:pStyle w:val="NormalWeb"/>
        <w:spacing w:before="120" w:beforeAutospacing="0" w:after="120" w:afterAutospacing="0"/>
        <w:rPr>
          <w:rFonts w:ascii="Calibri" w:hAnsi="Calibri" w:cs="Calibri"/>
        </w:rPr>
      </w:pPr>
      <w:r w:rsidRPr="00E440EF">
        <w:rPr>
          <w:rFonts w:ascii="Calibri" w:hAnsi="Calibri" w:cs="Calibri"/>
        </w:rPr>
        <w:t>The Escalation Payload provides a highly technical, machine-assembled context drop, including:</w:t>
      </w:r>
    </w:p>
    <w:p w14:paraId="38E87DDF" w14:textId="77777777" w:rsidR="00B951F6" w:rsidRPr="00E440EF" w:rsidRDefault="00B951F6" w:rsidP="00E440EF">
      <w:pPr>
        <w:numPr>
          <w:ilvl w:val="0"/>
          <w:numId w:val="6"/>
        </w:numPr>
        <w:rPr>
          <w:rFonts w:ascii="Calibri" w:hAnsi="Calibri" w:cs="Calibri"/>
        </w:rPr>
      </w:pPr>
      <w:r w:rsidRPr="00E440EF">
        <w:rPr>
          <w:rStyle w:val="Strong"/>
          <w:rFonts w:ascii="Calibri" w:hAnsi="Calibri" w:cs="Calibri"/>
        </w:rPr>
        <w:t>The Failure Context:</w:t>
      </w:r>
      <w:r w:rsidRPr="00E440EF">
        <w:rPr>
          <w:rFonts w:ascii="Calibri" w:hAnsi="Calibri" w:cs="Calibri"/>
        </w:rPr>
        <w:t xml:space="preserve"> A structured log of the failed deterministic validation (e.g., the exact output from the Static Analysis Security Scanner mapped to </w:t>
      </w:r>
      <w:r w:rsidRPr="00E440EF">
        <w:rPr>
          <w:rStyle w:val="HTMLCode"/>
          <w:rFonts w:ascii="Calibri" w:hAnsi="Calibri" w:cs="Calibri"/>
        </w:rPr>
        <w:t>VAL-002</w:t>
      </w:r>
      <w:r w:rsidRPr="00E440EF">
        <w:rPr>
          <w:rFonts w:ascii="Calibri" w:hAnsi="Calibri" w:cs="Calibri"/>
        </w:rPr>
        <w:t>).</w:t>
      </w:r>
    </w:p>
    <w:p w14:paraId="4A319473" w14:textId="77777777" w:rsidR="00B951F6" w:rsidRPr="00E440EF" w:rsidRDefault="00B951F6" w:rsidP="00E440EF">
      <w:pPr>
        <w:numPr>
          <w:ilvl w:val="0"/>
          <w:numId w:val="6"/>
        </w:numPr>
        <w:rPr>
          <w:rFonts w:ascii="Calibri" w:hAnsi="Calibri" w:cs="Calibri"/>
        </w:rPr>
      </w:pPr>
      <w:r w:rsidRPr="00E440EF">
        <w:rPr>
          <w:rStyle w:val="Strong"/>
          <w:rFonts w:ascii="Calibri" w:hAnsi="Calibri" w:cs="Calibri"/>
        </w:rPr>
        <w:t>The Traceability Path:</w:t>
      </w:r>
      <w:r w:rsidRPr="00E440EF">
        <w:rPr>
          <w:rFonts w:ascii="Calibri" w:hAnsi="Calibri" w:cs="Calibri"/>
        </w:rPr>
        <w:t xml:space="preserve"> The exact bidirectional graph link mapping the compilation failure back to the specification (e.g., </w:t>
      </w:r>
      <w:r w:rsidRPr="00E440EF">
        <w:rPr>
          <w:rStyle w:val="HTMLCode"/>
          <w:rFonts w:ascii="Calibri" w:hAnsi="Calibri" w:cs="Calibri"/>
        </w:rPr>
        <w:t>INT-001</w:t>
      </w:r>
      <w:r w:rsidRPr="00E440EF">
        <w:rPr>
          <w:rFonts w:ascii="Calibri" w:hAnsi="Calibri" w:cs="Calibri"/>
        </w:rPr>
        <w:t xml:space="preserve"> -&gt; </w:t>
      </w:r>
      <w:r w:rsidRPr="00E440EF">
        <w:rPr>
          <w:rStyle w:val="HTMLCode"/>
          <w:rFonts w:ascii="Calibri" w:hAnsi="Calibri" w:cs="Calibri"/>
        </w:rPr>
        <w:t>SRV-INTAKE-01</w:t>
      </w:r>
      <w:r w:rsidRPr="00E440EF">
        <w:rPr>
          <w:rFonts w:ascii="Calibri" w:hAnsi="Calibri" w:cs="Calibri"/>
        </w:rPr>
        <w:t xml:space="preserve"> -&gt; </w:t>
      </w:r>
      <w:r w:rsidRPr="00E440EF">
        <w:rPr>
          <w:rStyle w:val="HTMLCode"/>
          <w:rFonts w:ascii="Calibri" w:hAnsi="Calibri" w:cs="Calibri"/>
        </w:rPr>
        <w:t>POL-CJIS-001</w:t>
      </w:r>
      <w:r w:rsidRPr="00E440EF">
        <w:rPr>
          <w:rFonts w:ascii="Calibri" w:hAnsi="Calibri" w:cs="Calibri"/>
        </w:rPr>
        <w:t>) to perform automated impact analysis.</w:t>
      </w:r>
    </w:p>
    <w:p w14:paraId="6B18E1B5" w14:textId="77777777" w:rsidR="00B951F6" w:rsidRPr="00E440EF" w:rsidRDefault="00B951F6" w:rsidP="00E440EF">
      <w:pPr>
        <w:numPr>
          <w:ilvl w:val="0"/>
          <w:numId w:val="6"/>
        </w:numPr>
        <w:rPr>
          <w:rFonts w:ascii="Calibri" w:hAnsi="Calibri" w:cs="Calibri"/>
        </w:rPr>
      </w:pPr>
      <w:r w:rsidRPr="00E440EF">
        <w:rPr>
          <w:rStyle w:val="Strong"/>
          <w:rFonts w:ascii="Calibri" w:hAnsi="Calibri" w:cs="Calibri"/>
        </w:rPr>
        <w:t>The Repair History:</w:t>
      </w:r>
      <w:r w:rsidRPr="00E440EF">
        <w:rPr>
          <w:rFonts w:ascii="Calibri" w:hAnsi="Calibri" w:cs="Calibri"/>
        </w:rPr>
        <w:t xml:space="preserve"> The full memory of the attempted reasoning and artifact generation steps performed by the Implementation Generator and Repair Analyst prior to the escalation.</w:t>
      </w:r>
    </w:p>
    <w:p w14:paraId="3497C61B" w14:textId="77777777" w:rsidR="00B951F6" w:rsidRPr="00E440EF" w:rsidRDefault="00B951F6" w:rsidP="00E440EF">
      <w:pPr>
        <w:pStyle w:val="NormalWeb"/>
        <w:spacing w:before="120" w:beforeAutospacing="0" w:after="120" w:afterAutospacing="0"/>
        <w:rPr>
          <w:rFonts w:ascii="Calibri" w:hAnsi="Calibri" w:cs="Calibri"/>
        </w:rPr>
      </w:pPr>
      <w:r w:rsidRPr="00E440EF">
        <w:rPr>
          <w:rFonts w:ascii="Calibri" w:hAnsi="Calibri" w:cs="Calibri"/>
        </w:rPr>
        <w:t>This payload is routed directly back to the designated Human Governance Role—in this MACS POC scenario, the Security Validators (</w:t>
      </w:r>
      <w:r w:rsidRPr="00E440EF">
        <w:rPr>
          <w:rStyle w:val="HTMLCode"/>
          <w:rFonts w:ascii="Calibri" w:hAnsi="Calibri" w:cs="Calibri"/>
        </w:rPr>
        <w:t>STK-002</w:t>
      </w:r>
      <w:r w:rsidRPr="00E440EF">
        <w:rPr>
          <w:rFonts w:ascii="Calibri" w:hAnsi="Calibri" w:cs="Calibri"/>
        </w:rPr>
        <w:t>) or IT Architects (</w:t>
      </w:r>
      <w:r w:rsidRPr="00E440EF">
        <w:rPr>
          <w:rStyle w:val="HTMLCode"/>
          <w:rFonts w:ascii="Calibri" w:hAnsi="Calibri" w:cs="Calibri"/>
        </w:rPr>
        <w:t>STK-003</w:t>
      </w:r>
      <w:r w:rsidRPr="00E440EF">
        <w:rPr>
          <w:rFonts w:ascii="Calibri" w:hAnsi="Calibri" w:cs="Calibri"/>
        </w:rPr>
        <w:t>).</w:t>
      </w:r>
    </w:p>
    <w:p w14:paraId="3D97BC45" w14:textId="77777777" w:rsidR="00B951F6" w:rsidRPr="00E440EF" w:rsidRDefault="00B951F6" w:rsidP="00E440EF">
      <w:pPr>
        <w:pStyle w:val="NormalWeb"/>
        <w:spacing w:before="120" w:beforeAutospacing="0" w:after="120" w:afterAutospacing="0"/>
        <w:rPr>
          <w:rFonts w:ascii="Calibri" w:hAnsi="Calibri" w:cs="Calibri"/>
        </w:rPr>
      </w:pPr>
      <w:r w:rsidRPr="00E440EF">
        <w:rPr>
          <w:rStyle w:val="Strong"/>
          <w:rFonts w:ascii="Calibri" w:hAnsi="Calibri" w:cs="Calibri"/>
        </w:rPr>
        <w:t>Human Resolution and Workflow Resumption</w:t>
      </w:r>
      <w:r w:rsidRPr="00E440EF">
        <w:rPr>
          <w:rFonts w:ascii="Calibri" w:hAnsi="Calibri" w:cs="Calibri"/>
        </w:rPr>
        <w:t xml:space="preserve"> Crucially, because IMHOTEP enforces strict architectural boundaries, the human engineers do not step in to "fix the code" manually. Instead, the human governance authority evaluates the Escalation Payload and responds at the architectural level. The human must either adjust the active specification blueprint (e.g., modifying the encryption constraints in </w:t>
      </w:r>
      <w:r w:rsidRPr="00E440EF">
        <w:rPr>
          <w:rStyle w:val="HTMLCode"/>
          <w:rFonts w:ascii="Calibri" w:hAnsi="Calibri" w:cs="Calibri"/>
        </w:rPr>
        <w:t>POL-CJIS-001</w:t>
      </w:r>
      <w:r w:rsidRPr="00E440EF">
        <w:rPr>
          <w:rFonts w:ascii="Calibri" w:hAnsi="Calibri" w:cs="Calibri"/>
        </w:rPr>
        <w:t xml:space="preserve"> to accommodate the .NET library) or formally log a policy exception.</w:t>
      </w:r>
    </w:p>
    <w:p w14:paraId="011E8155" w14:textId="77777777" w:rsidR="00B951F6" w:rsidRPr="00E440EF" w:rsidRDefault="00B951F6" w:rsidP="00E440EF">
      <w:pPr>
        <w:pStyle w:val="NormalWeb"/>
        <w:spacing w:before="120" w:beforeAutospacing="0" w:after="120" w:afterAutospacing="0"/>
        <w:rPr>
          <w:rFonts w:ascii="Calibri" w:hAnsi="Calibri" w:cs="Calibri"/>
        </w:rPr>
      </w:pPr>
      <w:r w:rsidRPr="00E440EF">
        <w:rPr>
          <w:rFonts w:ascii="Calibri" w:hAnsi="Calibri" w:cs="Calibri"/>
        </w:rPr>
        <w:t xml:space="preserve">Once the human signs off on this resolution, the platform logs the decision into its </w:t>
      </w:r>
      <w:r w:rsidRPr="00E440EF">
        <w:rPr>
          <w:rStyle w:val="Strong"/>
          <w:rFonts w:ascii="Calibri" w:hAnsi="Calibri" w:cs="Calibri"/>
        </w:rPr>
        <w:t>Governance State</w:t>
      </w:r>
      <w:r w:rsidRPr="00E440EF">
        <w:rPr>
          <w:rFonts w:ascii="Calibri" w:hAnsi="Calibri" w:cs="Calibri"/>
        </w:rPr>
        <w:t xml:space="preserve">. The Execution Runtime records the action for strict enterprise auditability, unblocks the task graph, and the autonomous build resumes. This formal escalation pathway ensures that </w:t>
      </w:r>
      <w:r w:rsidRPr="00E440EF">
        <w:rPr>
          <w:rFonts w:ascii="Calibri" w:hAnsi="Calibri" w:cs="Calibri"/>
        </w:rPr>
        <w:lastRenderedPageBreak/>
        <w:t>even within an autonomous SDLC automata of the highest degree, human governance remains the active, authoritative steward of the construction process.</w:t>
      </w:r>
    </w:p>
    <w:p w14:paraId="3C72AB53" w14:textId="77777777" w:rsidR="00E440EF" w:rsidRPr="00E440EF" w:rsidRDefault="00B951F6" w:rsidP="00B951F6">
      <w:pPr>
        <w:pStyle w:val="Heading1"/>
        <w:rPr>
          <w:rFonts w:ascii="Calibri" w:hAnsi="Calibri" w:cs="Calibri"/>
        </w:rPr>
      </w:pPr>
      <w:r w:rsidRPr="00E440EF">
        <w:rPr>
          <w:rFonts w:ascii="Calibri" w:hAnsi="Calibri" w:cs="Calibri"/>
        </w:rPr>
        <w:t>The Shift to the "Watchtower"</w:t>
      </w:r>
    </w:p>
    <w:p w14:paraId="4A671ED9" w14:textId="246B1E35" w:rsidR="00B951F6" w:rsidRPr="00E440EF" w:rsidRDefault="00B951F6" w:rsidP="00E440EF">
      <w:pPr>
        <w:pStyle w:val="Heading2"/>
        <w:rPr>
          <w:rFonts w:ascii="Calibri" w:hAnsi="Calibri" w:cs="Calibri"/>
        </w:rPr>
      </w:pPr>
      <w:r w:rsidRPr="00E440EF">
        <w:rPr>
          <w:rFonts w:ascii="Calibri" w:hAnsi="Calibri" w:cs="Calibri"/>
        </w:rPr>
        <w:t>Observability and Telemetry</w:t>
      </w:r>
    </w:p>
    <w:p w14:paraId="7117359C" w14:textId="77777777" w:rsidR="00B951F6" w:rsidRPr="00E440EF" w:rsidRDefault="00B951F6" w:rsidP="00E440EF">
      <w:pPr>
        <w:pStyle w:val="NormalWeb"/>
        <w:spacing w:before="0" w:beforeAutospacing="0" w:after="120" w:afterAutospacing="0"/>
        <w:rPr>
          <w:rFonts w:ascii="Calibri" w:hAnsi="Calibri" w:cs="Calibri"/>
        </w:rPr>
      </w:pPr>
      <w:r w:rsidRPr="00E440EF">
        <w:rPr>
          <w:rFonts w:ascii="Calibri" w:hAnsi="Calibri" w:cs="Calibri"/>
        </w:rPr>
        <w:t xml:space="preserve">Once the MACS .NET REST Service blueprint is committed to the Artifact Repository and the autonomous build commences, human engineers do not converse with the AI, nor do they monitor real-time lines of code being generated. Instead, Human Governance Roles (such as the IT Architects, Security Validators, and the CDO) assume a supervisory position within the platform's </w:t>
      </w:r>
      <w:r w:rsidRPr="00E440EF">
        <w:rPr>
          <w:rStyle w:val="Strong"/>
          <w:rFonts w:ascii="Calibri" w:hAnsi="Calibri" w:cs="Calibri"/>
        </w:rPr>
        <w:t>Operational Dashboard</w:t>
      </w:r>
      <w:r w:rsidRPr="00E440EF">
        <w:rPr>
          <w:rFonts w:ascii="Calibri" w:hAnsi="Calibri" w:cs="Calibri"/>
        </w:rPr>
        <w:t>, acting as the "Watchtower" overseeing the digital construction site.</w:t>
      </w:r>
    </w:p>
    <w:p w14:paraId="22708627" w14:textId="77777777" w:rsidR="00B951F6" w:rsidRPr="00E440EF" w:rsidRDefault="00B951F6" w:rsidP="00E440EF">
      <w:pPr>
        <w:pStyle w:val="NormalWeb"/>
        <w:spacing w:before="0" w:beforeAutospacing="0" w:after="120" w:afterAutospacing="0"/>
        <w:rPr>
          <w:rFonts w:ascii="Calibri" w:hAnsi="Calibri" w:cs="Calibri"/>
        </w:rPr>
      </w:pPr>
      <w:r w:rsidRPr="00E440EF">
        <w:rPr>
          <w:rFonts w:ascii="Calibri" w:hAnsi="Calibri" w:cs="Calibri"/>
        </w:rPr>
        <w:t xml:space="preserve">Operating strictly under the </w:t>
      </w:r>
      <w:r w:rsidRPr="00E440EF">
        <w:rPr>
          <w:rStyle w:val="Strong"/>
          <w:rFonts w:ascii="Calibri" w:hAnsi="Calibri" w:cs="Calibri"/>
        </w:rPr>
        <w:t>Observability and Telemetry Model (ISL v2.6)</w:t>
      </w:r>
      <w:r w:rsidRPr="00E440EF">
        <w:rPr>
          <w:rFonts w:ascii="Calibri" w:hAnsi="Calibri" w:cs="Calibri"/>
        </w:rPr>
        <w:t>, the platform's Execution Monitor subsystem continuously streams structured data, providing total visibility into the automated workforce. The dashboard visualizes several distinct, highly technical telemetry streams:</w:t>
      </w:r>
    </w:p>
    <w:p w14:paraId="51D74FF9" w14:textId="77777777" w:rsidR="00B951F6" w:rsidRPr="00E440EF" w:rsidRDefault="00B951F6" w:rsidP="00E440EF">
      <w:pPr>
        <w:numPr>
          <w:ilvl w:val="0"/>
          <w:numId w:val="7"/>
        </w:numPr>
        <w:rPr>
          <w:rFonts w:ascii="Calibri" w:hAnsi="Calibri" w:cs="Calibri"/>
        </w:rPr>
      </w:pPr>
      <w:r w:rsidRPr="00E440EF">
        <w:rPr>
          <w:rStyle w:val="Strong"/>
          <w:rFonts w:ascii="Calibri" w:hAnsi="Calibri" w:cs="Calibri"/>
        </w:rPr>
        <w:t>Execution Telemetry:</w:t>
      </w:r>
      <w:r w:rsidRPr="00E440EF">
        <w:rPr>
          <w:rFonts w:ascii="Calibri" w:hAnsi="Calibri" w:cs="Calibri"/>
        </w:rPr>
        <w:t xml:space="preserve"> Tracks the real-time progression of the Construction Task Graph. Human operators watch as the platform systematically advances through the build, monitoring the successful generation of components like the </w:t>
      </w:r>
      <w:r w:rsidRPr="00E440EF">
        <w:rPr>
          <w:rStyle w:val="HTMLCode"/>
          <w:rFonts w:ascii="Calibri" w:hAnsi="Calibri" w:cs="Calibri"/>
        </w:rPr>
        <w:t>ENT-NODS-CASE</w:t>
      </w:r>
      <w:r w:rsidRPr="00E440EF">
        <w:rPr>
          <w:rFonts w:ascii="Calibri" w:hAnsi="Calibri" w:cs="Calibri"/>
        </w:rPr>
        <w:t xml:space="preserve"> canonical data entity or the scaffolding of the </w:t>
      </w:r>
      <w:r w:rsidRPr="00E440EF">
        <w:rPr>
          <w:rStyle w:val="HTMLCode"/>
          <w:rFonts w:ascii="Calibri" w:hAnsi="Calibri" w:cs="Calibri"/>
        </w:rPr>
        <w:t>INT-001</w:t>
      </w:r>
      <w:r w:rsidRPr="00E440EF">
        <w:rPr>
          <w:rFonts w:ascii="Calibri" w:hAnsi="Calibri" w:cs="Calibri"/>
        </w:rPr>
        <w:t xml:space="preserve"> Case Submission API.</w:t>
      </w:r>
    </w:p>
    <w:p w14:paraId="4C23DA13" w14:textId="77777777" w:rsidR="00B951F6" w:rsidRPr="00E440EF" w:rsidRDefault="00B951F6" w:rsidP="00E440EF">
      <w:pPr>
        <w:numPr>
          <w:ilvl w:val="0"/>
          <w:numId w:val="7"/>
        </w:numPr>
        <w:rPr>
          <w:rFonts w:ascii="Calibri" w:hAnsi="Calibri" w:cs="Calibri"/>
        </w:rPr>
      </w:pPr>
      <w:r w:rsidRPr="00E440EF">
        <w:rPr>
          <w:rStyle w:val="Strong"/>
          <w:rFonts w:ascii="Calibri" w:hAnsi="Calibri" w:cs="Calibri"/>
        </w:rPr>
        <w:t>Agent Activity Telemetry:</w:t>
      </w:r>
      <w:r w:rsidRPr="00E440EF">
        <w:rPr>
          <w:rFonts w:ascii="Calibri" w:hAnsi="Calibri" w:cs="Calibri"/>
        </w:rPr>
        <w:t xml:space="preserve"> Records the bounded reasoning activities of the specialized agents. Instead of reading chat logs, human overseers review structured metadata detailing which agent is active, the strict context it was provided, and the exact artifact it generated (e.g., the Implementation Generator producing the .NET controllers, or the Repair Analyst diagnosing a compilation failure).</w:t>
      </w:r>
    </w:p>
    <w:p w14:paraId="1671E3D8" w14:textId="77777777" w:rsidR="00B951F6" w:rsidRPr="00E440EF" w:rsidRDefault="00B951F6" w:rsidP="00E440EF">
      <w:pPr>
        <w:numPr>
          <w:ilvl w:val="0"/>
          <w:numId w:val="7"/>
        </w:numPr>
        <w:rPr>
          <w:rFonts w:ascii="Calibri" w:hAnsi="Calibri" w:cs="Calibri"/>
        </w:rPr>
      </w:pPr>
      <w:r w:rsidRPr="00E440EF">
        <w:rPr>
          <w:rStyle w:val="Strong"/>
          <w:rFonts w:ascii="Calibri" w:hAnsi="Calibri" w:cs="Calibri"/>
        </w:rPr>
        <w:t>Tool Interaction Telemetry:</w:t>
      </w:r>
      <w:r w:rsidRPr="00E440EF">
        <w:rPr>
          <w:rFonts w:ascii="Calibri" w:hAnsi="Calibri" w:cs="Calibri"/>
        </w:rPr>
        <w:t xml:space="preserve"> Streams the deterministic feedback directly from the Tool Plugin Architecture. This allows the Security Validators to monitor real-time outputs from the engineering workshop, such as the Identity Provider Testing Plugin enforcing </w:t>
      </w:r>
      <w:r w:rsidRPr="00E440EF">
        <w:rPr>
          <w:rStyle w:val="HTMLCode"/>
          <w:rFonts w:ascii="Calibri" w:hAnsi="Calibri" w:cs="Calibri"/>
        </w:rPr>
        <w:t>POL-NIST-001</w:t>
      </w:r>
      <w:r w:rsidRPr="00E440EF">
        <w:rPr>
          <w:rFonts w:ascii="Calibri" w:hAnsi="Calibri" w:cs="Calibri"/>
        </w:rPr>
        <w:t xml:space="preserve"> or the Static Analysis Security Scanner executing the </w:t>
      </w:r>
      <w:r w:rsidRPr="00E440EF">
        <w:rPr>
          <w:rStyle w:val="HTMLCode"/>
          <w:rFonts w:ascii="Calibri" w:hAnsi="Calibri" w:cs="Calibri"/>
        </w:rPr>
        <w:t>VAL-002</w:t>
      </w:r>
      <w:r w:rsidRPr="00E440EF">
        <w:rPr>
          <w:rFonts w:ascii="Calibri" w:hAnsi="Calibri" w:cs="Calibri"/>
        </w:rPr>
        <w:t xml:space="preserve"> encryption verification.</w:t>
      </w:r>
    </w:p>
    <w:p w14:paraId="2A3EA040" w14:textId="77777777" w:rsidR="00B951F6" w:rsidRPr="00E440EF" w:rsidRDefault="00B951F6" w:rsidP="00E440EF">
      <w:pPr>
        <w:numPr>
          <w:ilvl w:val="0"/>
          <w:numId w:val="7"/>
        </w:numPr>
        <w:rPr>
          <w:rFonts w:ascii="Calibri" w:hAnsi="Calibri" w:cs="Calibri"/>
        </w:rPr>
      </w:pPr>
      <w:r w:rsidRPr="00E440EF">
        <w:rPr>
          <w:rStyle w:val="Strong"/>
          <w:rFonts w:ascii="Calibri" w:hAnsi="Calibri" w:cs="Calibri"/>
        </w:rPr>
        <w:t>Governance and Policy Telemetry:</w:t>
      </w:r>
      <w:r w:rsidRPr="00E440EF">
        <w:rPr>
          <w:rFonts w:ascii="Calibri" w:hAnsi="Calibri" w:cs="Calibri"/>
        </w:rPr>
        <w:t xml:space="preserve"> Logs all real-time compliance checks, automated policy enforcement decisions, and approval gate status, maintaining a continuous audit trail for the Court Auditors.</w:t>
      </w:r>
    </w:p>
    <w:p w14:paraId="3F96755E" w14:textId="77777777" w:rsidR="00B951F6" w:rsidRPr="00E440EF" w:rsidRDefault="00B951F6" w:rsidP="00E440EF">
      <w:pPr>
        <w:pStyle w:val="NormalWeb"/>
        <w:spacing w:before="120" w:beforeAutospacing="0" w:after="120" w:afterAutospacing="0"/>
        <w:rPr>
          <w:rFonts w:ascii="Calibri" w:hAnsi="Calibri" w:cs="Calibri"/>
        </w:rPr>
      </w:pPr>
      <w:r w:rsidRPr="00E440EF">
        <w:rPr>
          <w:rStyle w:val="Strong"/>
          <w:rFonts w:ascii="Calibri" w:hAnsi="Calibri" w:cs="Calibri"/>
        </w:rPr>
        <w:t>Automated Monitoring and Proactive Alerting</w:t>
      </w:r>
      <w:r w:rsidRPr="00E440EF">
        <w:rPr>
          <w:rFonts w:ascii="Calibri" w:hAnsi="Calibri" w:cs="Calibri"/>
        </w:rPr>
        <w:t xml:space="preserve"> The telemetry stream does not just provide a passive historical record; it powers proactive monitoring systems designed to detect abnormal execution patterns. If the platform observes operational anomalies—such as the </w:t>
      </w:r>
      <w:r w:rsidRPr="00E440EF">
        <w:rPr>
          <w:rStyle w:val="HTMLCode"/>
          <w:rFonts w:ascii="Calibri" w:hAnsi="Calibri" w:cs="Calibri"/>
        </w:rPr>
        <w:t>VAL-004</w:t>
      </w:r>
      <w:r w:rsidRPr="00E440EF">
        <w:rPr>
          <w:rFonts w:ascii="Calibri" w:hAnsi="Calibri" w:cs="Calibri"/>
        </w:rPr>
        <w:t xml:space="preserve"> PII Scanning validation failing repeatedly and forcing the Execution Runtime into an excessive number of automated repair loops—the monitoring system actively flags this inefficiency on the dashboard.</w:t>
      </w:r>
    </w:p>
    <w:p w14:paraId="0A2160E2" w14:textId="77777777" w:rsidR="00B951F6" w:rsidRPr="00E440EF" w:rsidRDefault="00B951F6" w:rsidP="00E440EF">
      <w:pPr>
        <w:pStyle w:val="NormalWeb"/>
        <w:spacing w:before="120" w:beforeAutospacing="0" w:after="120" w:afterAutospacing="0"/>
        <w:rPr>
          <w:rFonts w:ascii="Calibri" w:hAnsi="Calibri" w:cs="Calibri"/>
        </w:rPr>
      </w:pPr>
      <w:r w:rsidRPr="00E440EF">
        <w:rPr>
          <w:rFonts w:ascii="Calibri" w:hAnsi="Calibri" w:cs="Calibri"/>
        </w:rPr>
        <w:t xml:space="preserve">This structured observability fundamentally alters the enterprise Software Development Lifecycle (SDLC). By transforming the "black box" of AI generation into a transparent, </w:t>
      </w:r>
      <w:r w:rsidRPr="00E440EF">
        <w:rPr>
          <w:rFonts w:ascii="Calibri" w:hAnsi="Calibri" w:cs="Calibri"/>
        </w:rPr>
        <w:lastRenderedPageBreak/>
        <w:t xml:space="preserve">quantifiable stream of metrics, the platform guarantees that the autonomous construction process remains </w:t>
      </w:r>
      <w:r w:rsidRPr="00E440EF">
        <w:rPr>
          <w:rStyle w:val="Strong"/>
          <w:rFonts w:ascii="Calibri" w:hAnsi="Calibri" w:cs="Calibri"/>
        </w:rPr>
        <w:t>transparent, auditable, and firmly under the supervision of the human governance team</w:t>
      </w:r>
      <w:r w:rsidRPr="00E440EF">
        <w:rPr>
          <w:rFonts w:ascii="Calibri" w:hAnsi="Calibri" w:cs="Calibri"/>
        </w:rPr>
        <w:t>.</w:t>
      </w:r>
    </w:p>
    <w:p w14:paraId="62B4E44F" w14:textId="77777777" w:rsidR="00875CAC" w:rsidRPr="00875CAC" w:rsidRDefault="00B951F6" w:rsidP="00B951F6">
      <w:pPr>
        <w:pStyle w:val="Heading1"/>
        <w:rPr>
          <w:rFonts w:ascii="Calibri" w:hAnsi="Calibri" w:cs="Calibri"/>
        </w:rPr>
      </w:pPr>
      <w:r w:rsidRPr="00875CAC">
        <w:rPr>
          <w:rFonts w:ascii="Calibri" w:hAnsi="Calibri" w:cs="Calibri"/>
        </w:rPr>
        <w:t>The Traceability Audit</w:t>
      </w:r>
    </w:p>
    <w:p w14:paraId="500733D3" w14:textId="5AB812C5" w:rsidR="00B951F6" w:rsidRPr="00875CAC" w:rsidRDefault="00B951F6" w:rsidP="00875CAC">
      <w:pPr>
        <w:pStyle w:val="Heading2"/>
        <w:rPr>
          <w:rFonts w:ascii="Calibri" w:hAnsi="Calibri" w:cs="Calibri"/>
        </w:rPr>
      </w:pPr>
      <w:r w:rsidRPr="00875CAC">
        <w:rPr>
          <w:rFonts w:ascii="Calibri" w:hAnsi="Calibri" w:cs="Calibri"/>
        </w:rPr>
        <w:t>Interacting with the Machine's Memory</w:t>
      </w:r>
    </w:p>
    <w:p w14:paraId="3F5C0051" w14:textId="77777777" w:rsidR="00B951F6" w:rsidRPr="00875CAC" w:rsidRDefault="00B951F6" w:rsidP="00875CAC">
      <w:pPr>
        <w:pStyle w:val="NormalWeb"/>
        <w:spacing w:before="120" w:beforeAutospacing="0" w:after="120" w:afterAutospacing="0"/>
        <w:rPr>
          <w:rFonts w:ascii="Calibri" w:hAnsi="Calibri" w:cs="Calibri"/>
        </w:rPr>
      </w:pPr>
      <w:r w:rsidRPr="00875CAC">
        <w:rPr>
          <w:rFonts w:ascii="Calibri" w:hAnsi="Calibri" w:cs="Calibri"/>
        </w:rPr>
        <w:t xml:space="preserve">When the IMHOTEP platform completes the generation of the MACS .NET REST service, the final implementation artifacts are securely committed to the </w:t>
      </w:r>
      <w:r w:rsidRPr="00875CAC">
        <w:rPr>
          <w:rStyle w:val="Strong"/>
          <w:rFonts w:ascii="Calibri" w:hAnsi="Calibri" w:cs="Calibri"/>
        </w:rPr>
        <w:t>Artifact Repository</w:t>
      </w:r>
      <w:r w:rsidRPr="00875CAC">
        <w:rPr>
          <w:rFonts w:ascii="Calibri" w:hAnsi="Calibri" w:cs="Calibri"/>
        </w:rPr>
        <w:t xml:space="preserve">. However, for a highly regulated environment like a state-level judiciary, the ultimate deliverable is not merely the compiled code—it is the cryptographic-style map of </w:t>
      </w:r>
      <w:r w:rsidRPr="00875CAC">
        <w:rPr>
          <w:rStyle w:val="Emphasis"/>
          <w:rFonts w:ascii="Calibri" w:hAnsi="Calibri" w:cs="Calibri"/>
        </w:rPr>
        <w:t>why</w:t>
      </w:r>
      <w:r w:rsidRPr="00875CAC">
        <w:rPr>
          <w:rFonts w:ascii="Calibri" w:hAnsi="Calibri" w:cs="Calibri"/>
        </w:rPr>
        <w:t xml:space="preserve"> and </w:t>
      </w:r>
      <w:r w:rsidRPr="00875CAC">
        <w:rPr>
          <w:rStyle w:val="Emphasis"/>
          <w:rFonts w:ascii="Calibri" w:hAnsi="Calibri" w:cs="Calibri"/>
        </w:rPr>
        <w:t>how</w:t>
      </w:r>
      <w:r w:rsidRPr="00875CAC">
        <w:rPr>
          <w:rFonts w:ascii="Calibri" w:hAnsi="Calibri" w:cs="Calibri"/>
        </w:rPr>
        <w:t xml:space="preserve"> that code was generated.</w:t>
      </w:r>
    </w:p>
    <w:p w14:paraId="4784F506" w14:textId="77777777" w:rsidR="00B951F6" w:rsidRPr="00875CAC" w:rsidRDefault="00B951F6" w:rsidP="00875CAC">
      <w:pPr>
        <w:pStyle w:val="NormalWeb"/>
        <w:spacing w:before="120" w:beforeAutospacing="0" w:after="120" w:afterAutospacing="0"/>
        <w:rPr>
          <w:rFonts w:ascii="Calibri" w:hAnsi="Calibri" w:cs="Calibri"/>
        </w:rPr>
      </w:pPr>
      <w:r w:rsidRPr="00875CAC">
        <w:rPr>
          <w:rFonts w:ascii="Calibri" w:hAnsi="Calibri" w:cs="Calibri"/>
        </w:rPr>
        <w:t>To satisfy enterprise compliance, Human Governance Roles—specifically the Court Auditors (</w:t>
      </w:r>
      <w:r w:rsidRPr="00875CAC">
        <w:rPr>
          <w:rStyle w:val="HTMLCode"/>
          <w:rFonts w:ascii="Calibri" w:hAnsi="Calibri" w:cs="Calibri"/>
        </w:rPr>
        <w:t>STK-001</w:t>
      </w:r>
      <w:r w:rsidRPr="00875CAC">
        <w:rPr>
          <w:rFonts w:ascii="Calibri" w:hAnsi="Calibri" w:cs="Calibri"/>
        </w:rPr>
        <w:t>) and the Chief Data Officer (</w:t>
      </w:r>
      <w:r w:rsidRPr="00875CAC">
        <w:rPr>
          <w:rStyle w:val="HTMLCode"/>
          <w:rFonts w:ascii="Calibri" w:hAnsi="Calibri" w:cs="Calibri"/>
        </w:rPr>
        <w:t>STK-003</w:t>
      </w:r>
      <w:r w:rsidRPr="00875CAC">
        <w:rPr>
          <w:rFonts w:ascii="Calibri" w:hAnsi="Calibri" w:cs="Calibri"/>
        </w:rPr>
        <w:t xml:space="preserve">)—must conduct a formal </w:t>
      </w:r>
      <w:r w:rsidRPr="00875CAC">
        <w:rPr>
          <w:rStyle w:val="Strong"/>
          <w:rFonts w:ascii="Calibri" w:hAnsi="Calibri" w:cs="Calibri"/>
        </w:rPr>
        <w:t>Traceability Audit</w:t>
      </w:r>
      <w:r w:rsidRPr="00875CAC">
        <w:rPr>
          <w:rFonts w:ascii="Calibri" w:hAnsi="Calibri" w:cs="Calibri"/>
        </w:rPr>
        <w:t xml:space="preserve">. Instead of manually reading thousands of lines of generated C# code, these stakeholders interact directly with the platform’s </w:t>
      </w:r>
      <w:r w:rsidRPr="00875CAC">
        <w:rPr>
          <w:rStyle w:val="Strong"/>
          <w:rFonts w:ascii="Calibri" w:hAnsi="Calibri" w:cs="Calibri"/>
        </w:rPr>
        <w:t>State and Memory Model (ISL v2.2)</w:t>
      </w:r>
      <w:r w:rsidRPr="00875CAC">
        <w:rPr>
          <w:rFonts w:ascii="Calibri" w:hAnsi="Calibri" w:cs="Calibri"/>
        </w:rPr>
        <w:t>. Memory serves as the platform's historical record, preserving the accumulated knowledge of all past tasks, agent decisions, and tool validation results.</w:t>
      </w:r>
    </w:p>
    <w:p w14:paraId="52B8B99A" w14:textId="77777777" w:rsidR="00B951F6" w:rsidRPr="00875CAC" w:rsidRDefault="00B951F6" w:rsidP="00875CAC">
      <w:pPr>
        <w:pStyle w:val="NormalWeb"/>
        <w:spacing w:before="120" w:beforeAutospacing="0" w:after="120" w:afterAutospacing="0"/>
        <w:rPr>
          <w:rFonts w:ascii="Calibri" w:hAnsi="Calibri" w:cs="Calibri"/>
        </w:rPr>
      </w:pPr>
      <w:r w:rsidRPr="00875CAC">
        <w:rPr>
          <w:rStyle w:val="Strong"/>
          <w:rFonts w:ascii="Calibri" w:hAnsi="Calibri" w:cs="Calibri"/>
        </w:rPr>
        <w:t>Bidirectional Graph Traversal</w:t>
      </w:r>
      <w:r w:rsidRPr="00875CAC">
        <w:rPr>
          <w:rFonts w:ascii="Calibri" w:hAnsi="Calibri" w:cs="Calibri"/>
        </w:rPr>
        <w:t xml:space="preserve"> Auditors interface with this memory by querying the platform's bidirectional </w:t>
      </w:r>
      <w:r w:rsidRPr="00875CAC">
        <w:rPr>
          <w:rStyle w:val="Strong"/>
          <w:rFonts w:ascii="Calibri" w:hAnsi="Calibri" w:cs="Calibri"/>
        </w:rPr>
        <w:t>Traceability Graph (ISL v1.4)</w:t>
      </w:r>
      <w:r w:rsidRPr="00875CAC">
        <w:rPr>
          <w:rFonts w:ascii="Calibri" w:hAnsi="Calibri" w:cs="Calibri"/>
        </w:rPr>
        <w:t>. Because the platform enforces "Explicit Edge Creation" during the Context Assembly phase, every generated artifact is permanently and structurally linked back to the exact specification entity that justified its creation.</w:t>
      </w:r>
    </w:p>
    <w:p w14:paraId="13B51B4B" w14:textId="77777777" w:rsidR="00B951F6" w:rsidRPr="00875CAC" w:rsidRDefault="00B951F6" w:rsidP="00875CAC">
      <w:pPr>
        <w:pStyle w:val="NormalWeb"/>
        <w:spacing w:before="120" w:beforeAutospacing="0" w:after="120" w:afterAutospacing="0"/>
        <w:rPr>
          <w:rFonts w:ascii="Calibri" w:hAnsi="Calibri" w:cs="Calibri"/>
        </w:rPr>
      </w:pPr>
      <w:r w:rsidRPr="00875CAC">
        <w:rPr>
          <w:rFonts w:ascii="Calibri" w:hAnsi="Calibri" w:cs="Calibri"/>
        </w:rPr>
        <w:t xml:space="preserve">For example, to verify compliance with the mandatory PII data protection rules, an auditor queries the Traceability Engine for </w:t>
      </w:r>
      <w:r w:rsidRPr="00875CAC">
        <w:rPr>
          <w:rStyle w:val="HTMLCode"/>
          <w:rFonts w:ascii="Calibri" w:hAnsi="Calibri" w:cs="Calibri"/>
        </w:rPr>
        <w:t>POL-PII-001</w:t>
      </w:r>
      <w:r w:rsidRPr="00875CAC">
        <w:rPr>
          <w:rFonts w:ascii="Calibri" w:hAnsi="Calibri" w:cs="Calibri"/>
        </w:rPr>
        <w:t>. The machine instantly traverses the graph to provide an immutable, mathematically verifiable audit trail demonstrating:</w:t>
      </w:r>
    </w:p>
    <w:p w14:paraId="25E4D7A0" w14:textId="77777777" w:rsidR="00B951F6" w:rsidRPr="00875CAC" w:rsidRDefault="00B951F6" w:rsidP="00875CAC">
      <w:pPr>
        <w:numPr>
          <w:ilvl w:val="0"/>
          <w:numId w:val="8"/>
        </w:numPr>
        <w:rPr>
          <w:rFonts w:ascii="Calibri" w:hAnsi="Calibri" w:cs="Calibri"/>
        </w:rPr>
      </w:pPr>
      <w:r w:rsidRPr="00875CAC">
        <w:rPr>
          <w:rStyle w:val="Strong"/>
          <w:rFonts w:ascii="Calibri" w:hAnsi="Calibri" w:cs="Calibri"/>
        </w:rPr>
        <w:t>The Origin:</w:t>
      </w:r>
      <w:r w:rsidRPr="00875CAC">
        <w:rPr>
          <w:rFonts w:ascii="Calibri" w:hAnsi="Calibri" w:cs="Calibri"/>
        </w:rPr>
        <w:t xml:space="preserve"> The exact ISL blueprint constraint (</w:t>
      </w:r>
      <w:r w:rsidRPr="00875CAC">
        <w:rPr>
          <w:rStyle w:val="HTMLCode"/>
          <w:rFonts w:ascii="Calibri" w:hAnsi="Calibri" w:cs="Calibri"/>
        </w:rPr>
        <w:t>POL-PII-001</w:t>
      </w:r>
      <w:r w:rsidRPr="00875CAC">
        <w:rPr>
          <w:rFonts w:ascii="Calibri" w:hAnsi="Calibri" w:cs="Calibri"/>
        </w:rPr>
        <w:t>) mandating PII masking.</w:t>
      </w:r>
    </w:p>
    <w:p w14:paraId="5730E49F" w14:textId="77777777" w:rsidR="00B951F6" w:rsidRPr="00875CAC" w:rsidRDefault="00B951F6" w:rsidP="00875CAC">
      <w:pPr>
        <w:numPr>
          <w:ilvl w:val="0"/>
          <w:numId w:val="8"/>
        </w:numPr>
        <w:rPr>
          <w:rFonts w:ascii="Calibri" w:hAnsi="Calibri" w:cs="Calibri"/>
        </w:rPr>
      </w:pPr>
      <w:r w:rsidRPr="00875CAC">
        <w:rPr>
          <w:rStyle w:val="Strong"/>
          <w:rFonts w:ascii="Calibri" w:hAnsi="Calibri" w:cs="Calibri"/>
        </w:rPr>
        <w:t>The Scope:</w:t>
      </w:r>
      <w:r w:rsidRPr="00875CAC">
        <w:rPr>
          <w:rFonts w:ascii="Calibri" w:hAnsi="Calibri" w:cs="Calibri"/>
        </w:rPr>
        <w:t xml:space="preserve"> The specific data model (</w:t>
      </w:r>
      <w:r w:rsidRPr="00875CAC">
        <w:rPr>
          <w:rStyle w:val="HTMLCode"/>
          <w:rFonts w:ascii="Calibri" w:hAnsi="Calibri" w:cs="Calibri"/>
        </w:rPr>
        <w:t>ENT-NODS-PARTY</w:t>
      </w:r>
      <w:r w:rsidRPr="00875CAC">
        <w:rPr>
          <w:rFonts w:ascii="Calibri" w:hAnsi="Calibri" w:cs="Calibri"/>
        </w:rPr>
        <w:t>) and the concrete .NET canonical classes (</w:t>
      </w:r>
      <w:proofErr w:type="spellStart"/>
      <w:r w:rsidRPr="00875CAC">
        <w:rPr>
          <w:rStyle w:val="HTMLCode"/>
          <w:rFonts w:ascii="Calibri" w:hAnsi="Calibri" w:cs="Calibri"/>
        </w:rPr>
        <w:t>PartyDetail</w:t>
      </w:r>
      <w:proofErr w:type="spellEnd"/>
      <w:r w:rsidRPr="00875CAC">
        <w:rPr>
          <w:rFonts w:ascii="Calibri" w:hAnsi="Calibri" w:cs="Calibri"/>
        </w:rPr>
        <w:t>) constrained by this policy.</w:t>
      </w:r>
    </w:p>
    <w:p w14:paraId="09BF9D41" w14:textId="77777777" w:rsidR="00B951F6" w:rsidRPr="00875CAC" w:rsidRDefault="00B951F6" w:rsidP="00875CAC">
      <w:pPr>
        <w:numPr>
          <w:ilvl w:val="0"/>
          <w:numId w:val="8"/>
        </w:numPr>
        <w:rPr>
          <w:rFonts w:ascii="Calibri" w:hAnsi="Calibri" w:cs="Calibri"/>
        </w:rPr>
      </w:pPr>
      <w:r w:rsidRPr="00875CAC">
        <w:rPr>
          <w:rStyle w:val="Strong"/>
          <w:rFonts w:ascii="Calibri" w:hAnsi="Calibri" w:cs="Calibri"/>
        </w:rPr>
        <w:t>The Execution:</w:t>
      </w:r>
      <w:r w:rsidRPr="00875CAC">
        <w:rPr>
          <w:rFonts w:ascii="Calibri" w:hAnsi="Calibri" w:cs="Calibri"/>
        </w:rPr>
        <w:t xml:space="preserve"> The precise reasoning artifacts produced by the Implementation Generator agent when scaffolding the C# entity and masking logic.</w:t>
      </w:r>
    </w:p>
    <w:p w14:paraId="170072E6" w14:textId="77777777" w:rsidR="00B951F6" w:rsidRPr="00875CAC" w:rsidRDefault="00B951F6" w:rsidP="00875CAC">
      <w:pPr>
        <w:numPr>
          <w:ilvl w:val="0"/>
          <w:numId w:val="8"/>
        </w:numPr>
        <w:rPr>
          <w:rFonts w:ascii="Calibri" w:hAnsi="Calibri" w:cs="Calibri"/>
        </w:rPr>
      </w:pPr>
      <w:r w:rsidRPr="00875CAC">
        <w:rPr>
          <w:rStyle w:val="Strong"/>
          <w:rFonts w:ascii="Calibri" w:hAnsi="Calibri" w:cs="Calibri"/>
        </w:rPr>
        <w:t>The Verification:</w:t>
      </w:r>
      <w:r w:rsidRPr="00875CAC">
        <w:rPr>
          <w:rFonts w:ascii="Calibri" w:hAnsi="Calibri" w:cs="Calibri"/>
        </w:rPr>
        <w:t xml:space="preserve"> The deterministic log from the engineering workshop, proving that the PII Scanner Plugin (</w:t>
      </w:r>
      <w:r w:rsidRPr="00875CAC">
        <w:rPr>
          <w:rStyle w:val="HTMLCode"/>
          <w:rFonts w:ascii="Calibri" w:hAnsi="Calibri" w:cs="Calibri"/>
        </w:rPr>
        <w:t>VAL-004</w:t>
      </w:r>
      <w:r w:rsidRPr="00875CAC">
        <w:rPr>
          <w:rFonts w:ascii="Calibri" w:hAnsi="Calibri" w:cs="Calibri"/>
        </w:rPr>
        <w:t>) was invoked, executed against the generated code, and returned a passing validation state.</w:t>
      </w:r>
    </w:p>
    <w:p w14:paraId="0744A272" w14:textId="77777777" w:rsidR="00B951F6" w:rsidRPr="00875CAC" w:rsidRDefault="00B951F6" w:rsidP="00875CAC">
      <w:pPr>
        <w:pStyle w:val="NormalWeb"/>
        <w:spacing w:before="120" w:beforeAutospacing="0" w:after="120" w:afterAutospacing="0"/>
        <w:rPr>
          <w:rFonts w:ascii="Calibri" w:hAnsi="Calibri" w:cs="Calibri"/>
        </w:rPr>
      </w:pPr>
      <w:r w:rsidRPr="00875CAC">
        <w:rPr>
          <w:rStyle w:val="Strong"/>
          <w:rFonts w:ascii="Calibri" w:hAnsi="Calibri" w:cs="Calibri"/>
        </w:rPr>
        <w:t>Governance State as Enterprise Proof</w:t>
      </w:r>
      <w:r w:rsidRPr="00875CAC">
        <w:rPr>
          <w:rFonts w:ascii="Calibri" w:hAnsi="Calibri" w:cs="Calibri"/>
        </w:rPr>
        <w:t xml:space="preserve"> By preserving this chain of relationships within its </w:t>
      </w:r>
      <w:r w:rsidRPr="00875CAC">
        <w:rPr>
          <w:rStyle w:val="Strong"/>
          <w:rFonts w:ascii="Calibri" w:hAnsi="Calibri" w:cs="Calibri"/>
        </w:rPr>
        <w:t>Governance State</w:t>
      </w:r>
      <w:r w:rsidRPr="00875CAC">
        <w:rPr>
          <w:rFonts w:ascii="Calibri" w:hAnsi="Calibri" w:cs="Calibri"/>
        </w:rPr>
        <w:t>, the platform provides an exact record of policy evaluations, approval gates, and enforcement actions. This transforms the platform from a "black box" code generator into a transparent, enterprise-grade asset. To enterprise risk officers and court auditors, the Traceability Graph provides undeniable proof that the autonomous system did not hallucinate functionality, but rather perfectly mapped the human team's operational constraints (e.g., CJIS, NIST, NCSC NODS) into deterministically verified software.</w:t>
      </w:r>
    </w:p>
    <w:p w14:paraId="0F059883" w14:textId="77777777" w:rsidR="007B57EE" w:rsidRPr="00875CAC" w:rsidRDefault="007B57EE" w:rsidP="007B57EE">
      <w:pPr>
        <w:pStyle w:val="Heading1"/>
        <w:rPr>
          <w:rFonts w:ascii="Calibri" w:hAnsi="Calibri" w:cs="Calibri"/>
        </w:rPr>
      </w:pPr>
      <w:r w:rsidRPr="00875CAC">
        <w:rPr>
          <w:rFonts w:ascii="Calibri" w:hAnsi="Calibri" w:cs="Calibri"/>
        </w:rPr>
        <w:lastRenderedPageBreak/>
        <w:t>The Review Agent Handoff (Final Acceptance)</w:t>
      </w:r>
    </w:p>
    <w:p w14:paraId="64B8948E" w14:textId="77777777" w:rsidR="007B57EE" w:rsidRPr="00875CAC" w:rsidRDefault="007B57EE" w:rsidP="00875CAC">
      <w:pPr>
        <w:spacing w:after="120"/>
        <w:rPr>
          <w:rFonts w:ascii="Calibri" w:hAnsi="Calibri" w:cs="Calibri"/>
        </w:rPr>
      </w:pPr>
      <w:r w:rsidRPr="00875CAC">
        <w:rPr>
          <w:rFonts w:ascii="Calibri" w:hAnsi="Calibri" w:cs="Calibri"/>
        </w:rPr>
        <w:t xml:space="preserve">Before the system is authorized for a production handover, the </w:t>
      </w:r>
      <w:r w:rsidRPr="00875CAC">
        <w:rPr>
          <w:rFonts w:ascii="Calibri" w:hAnsi="Calibri" w:cs="Calibri"/>
          <w:b/>
          <w:bCs/>
        </w:rPr>
        <w:t>Review Agent</w:t>
      </w:r>
      <w:r w:rsidRPr="00875CAC">
        <w:rPr>
          <w:rFonts w:ascii="Calibri" w:hAnsi="Calibri" w:cs="Calibri"/>
        </w:rPr>
        <w:t xml:space="preserve"> performs a structured, critical evaluation of the generated implementation. Unlike the Repair Analyst, which focuses strictly on diagnosing deterministic validation failures to achieve compilation, the Review Agent acts as an internal architectural critic. It examines the finalized C# codebase for architectural drift, maintainability, naming consistency, and appropriate component decomposition.</w:t>
      </w:r>
    </w:p>
    <w:p w14:paraId="182809EB" w14:textId="77777777" w:rsidR="007B57EE" w:rsidRPr="00875CAC" w:rsidRDefault="007B57EE" w:rsidP="00875CAC">
      <w:pPr>
        <w:spacing w:after="120"/>
        <w:rPr>
          <w:rFonts w:ascii="Calibri" w:hAnsi="Calibri" w:cs="Calibri"/>
        </w:rPr>
      </w:pPr>
      <w:r w:rsidRPr="00875CAC">
        <w:rPr>
          <w:rFonts w:ascii="Calibri" w:hAnsi="Calibri" w:cs="Calibri"/>
        </w:rPr>
        <w:t xml:space="preserve">For instance, the Review Agent scrutinizes the generated </w:t>
      </w:r>
      <w:r w:rsidRPr="00875CAC">
        <w:rPr>
          <w:rFonts w:ascii="Calibri" w:hAnsi="Calibri" w:cs="Calibri"/>
          <w:sz w:val="20"/>
          <w:szCs w:val="20"/>
        </w:rPr>
        <w:t>INT-001</w:t>
      </w:r>
      <w:r w:rsidRPr="00875CAC">
        <w:rPr>
          <w:rFonts w:ascii="Calibri" w:hAnsi="Calibri" w:cs="Calibri"/>
        </w:rPr>
        <w:t xml:space="preserve"> Case Submission API to verify that its internal logic and object models align coherently with the structural intent of the NCSC NODS canonical schemas (</w:t>
      </w:r>
      <w:r w:rsidRPr="00875CAC">
        <w:rPr>
          <w:rFonts w:ascii="Calibri" w:hAnsi="Calibri" w:cs="Calibri"/>
          <w:sz w:val="20"/>
          <w:szCs w:val="20"/>
        </w:rPr>
        <w:t>ENT-NODS-CASE</w:t>
      </w:r>
      <w:r w:rsidRPr="00875CAC">
        <w:rPr>
          <w:rFonts w:ascii="Calibri" w:hAnsi="Calibri" w:cs="Calibri"/>
        </w:rPr>
        <w:t xml:space="preserve">, </w:t>
      </w:r>
      <w:r w:rsidRPr="00875CAC">
        <w:rPr>
          <w:rFonts w:ascii="Calibri" w:hAnsi="Calibri" w:cs="Calibri"/>
          <w:sz w:val="20"/>
          <w:szCs w:val="20"/>
        </w:rPr>
        <w:t>ENT-NODS-PARTY</w:t>
      </w:r>
      <w:r w:rsidRPr="00875CAC">
        <w:rPr>
          <w:rFonts w:ascii="Calibri" w:hAnsi="Calibri" w:cs="Calibri"/>
        </w:rPr>
        <w:t>). This ensures the resulting software is not just functionally viable and machine-verified, but also highly readable and maintainable by human engineers in the future.</w:t>
      </w:r>
    </w:p>
    <w:p w14:paraId="53113949" w14:textId="77777777" w:rsidR="007B57EE" w:rsidRPr="00875CAC" w:rsidRDefault="007B57EE" w:rsidP="00875CAC">
      <w:pPr>
        <w:spacing w:after="120"/>
        <w:rPr>
          <w:rFonts w:ascii="Calibri" w:hAnsi="Calibri" w:cs="Calibri"/>
        </w:rPr>
      </w:pPr>
      <w:r w:rsidRPr="00875CAC">
        <w:rPr>
          <w:rFonts w:ascii="Calibri" w:hAnsi="Calibri" w:cs="Calibri"/>
          <w:b/>
          <w:bCs/>
        </w:rPr>
        <w:t>Operational Packaging by the Deployment Preparer</w:t>
      </w:r>
      <w:r w:rsidRPr="00875CAC">
        <w:rPr>
          <w:rFonts w:ascii="Calibri" w:hAnsi="Calibri" w:cs="Calibri"/>
        </w:rPr>
        <w:t xml:space="preserve"> Once the Review Agent validates the qualitative integrity of the codebase, the execution runtime invokes the </w:t>
      </w:r>
      <w:r w:rsidRPr="00875CAC">
        <w:rPr>
          <w:rFonts w:ascii="Calibri" w:hAnsi="Calibri" w:cs="Calibri"/>
          <w:b/>
          <w:bCs/>
        </w:rPr>
        <w:t>Deployment Preparer</w:t>
      </w:r>
      <w:r w:rsidRPr="00875CAC">
        <w:rPr>
          <w:rFonts w:ascii="Calibri" w:hAnsi="Calibri" w:cs="Calibri"/>
        </w:rPr>
        <w:t>. This agent's tightly bounded task is to translate the completed .NET MACS subsystem into an operationally deployable package, mapped directly to the constraints defined in the infrastructure specification (</w:t>
      </w:r>
      <w:r w:rsidRPr="00875CAC">
        <w:rPr>
          <w:rFonts w:ascii="Calibri" w:hAnsi="Calibri" w:cs="Calibri"/>
          <w:sz w:val="20"/>
          <w:szCs w:val="20"/>
        </w:rPr>
        <w:t>INF-001</w:t>
      </w:r>
      <w:r w:rsidRPr="00875CAC">
        <w:rPr>
          <w:rFonts w:ascii="Calibri" w:hAnsi="Calibri" w:cs="Calibri"/>
        </w:rPr>
        <w:t>).</w:t>
      </w:r>
    </w:p>
    <w:p w14:paraId="56CF9935" w14:textId="77777777" w:rsidR="007B57EE" w:rsidRPr="00875CAC" w:rsidRDefault="007B57EE" w:rsidP="00875CAC">
      <w:pPr>
        <w:spacing w:after="120"/>
        <w:rPr>
          <w:rFonts w:ascii="Calibri" w:hAnsi="Calibri" w:cs="Calibri"/>
        </w:rPr>
      </w:pPr>
      <w:r w:rsidRPr="00875CAC">
        <w:rPr>
          <w:rFonts w:ascii="Calibri" w:hAnsi="Calibri" w:cs="Calibri"/>
        </w:rPr>
        <w:t xml:space="preserve">For the MACS proof-of-concept, the Deployment Preparer generates the required </w:t>
      </w:r>
      <w:proofErr w:type="spellStart"/>
      <w:r w:rsidRPr="00875CAC">
        <w:rPr>
          <w:rFonts w:ascii="Calibri" w:hAnsi="Calibri" w:cs="Calibri"/>
        </w:rPr>
        <w:t>Dockerfiles</w:t>
      </w:r>
      <w:proofErr w:type="spellEnd"/>
      <w:r w:rsidRPr="00875CAC">
        <w:rPr>
          <w:rFonts w:ascii="Calibri" w:hAnsi="Calibri" w:cs="Calibri"/>
        </w:rPr>
        <w:t>, container deployment manifests, runtime configuration templates, and environment assumptions necessary to host the local-first, containerized .NET runtime. It bridges the gap between software construction and IT operations by ensuring the system is packaged according to enterprise deployment standards.</w:t>
      </w:r>
    </w:p>
    <w:p w14:paraId="75357179" w14:textId="77777777" w:rsidR="007B57EE" w:rsidRPr="00875CAC" w:rsidRDefault="007B57EE" w:rsidP="00875CAC">
      <w:pPr>
        <w:spacing w:after="120"/>
        <w:rPr>
          <w:rFonts w:ascii="Calibri" w:hAnsi="Calibri" w:cs="Calibri"/>
        </w:rPr>
      </w:pPr>
      <w:r w:rsidRPr="00875CAC">
        <w:rPr>
          <w:rFonts w:ascii="Calibri" w:hAnsi="Calibri" w:cs="Calibri"/>
          <w:b/>
          <w:bCs/>
        </w:rPr>
        <w:t>The Deployment Readiness Payload and Human Acceptance</w:t>
      </w:r>
      <w:r w:rsidRPr="00875CAC">
        <w:rPr>
          <w:rFonts w:ascii="Calibri" w:hAnsi="Calibri" w:cs="Calibri"/>
        </w:rPr>
        <w:t xml:space="preserve"> The culmination of this autonomous SDLC cycle is the generation of a formal </w:t>
      </w:r>
      <w:r w:rsidRPr="00875CAC">
        <w:rPr>
          <w:rFonts w:ascii="Calibri" w:hAnsi="Calibri" w:cs="Calibri"/>
          <w:b/>
          <w:bCs/>
        </w:rPr>
        <w:t>Deployment Readiness Payload</w:t>
      </w:r>
      <w:r w:rsidRPr="00875CAC">
        <w:rPr>
          <w:rFonts w:ascii="Calibri" w:hAnsi="Calibri" w:cs="Calibri"/>
        </w:rPr>
        <w:t>. The platform consolidates the compiled binaries, the containerization manifests, the full traceability graph, and the complete deterministic validation logs into a final structured package.</w:t>
      </w:r>
    </w:p>
    <w:p w14:paraId="1E4F2C64" w14:textId="77777777" w:rsidR="007B57EE" w:rsidRPr="00875CAC" w:rsidRDefault="007B57EE" w:rsidP="00875CAC">
      <w:pPr>
        <w:spacing w:after="120"/>
        <w:rPr>
          <w:rFonts w:ascii="Calibri" w:hAnsi="Calibri" w:cs="Calibri"/>
        </w:rPr>
      </w:pPr>
      <w:r w:rsidRPr="00875CAC">
        <w:rPr>
          <w:rFonts w:ascii="Calibri" w:hAnsi="Calibri" w:cs="Calibri"/>
        </w:rPr>
        <w:t>The platform then routes this payload back to the Human Governance Roles—specifically, the Infrastructure and Operations Professionals. At this final Approval Gate, the human engineers do not need to recompile the system, run tests, or write deployment scripts. Instead, they evaluate the Deployment Readiness Payload to formally accept the machine's work and authorize the final push to the production environment.</w:t>
      </w:r>
    </w:p>
    <w:p w14:paraId="5E66AE80" w14:textId="77777777" w:rsidR="007B57EE" w:rsidRPr="00875CAC" w:rsidRDefault="007B57EE" w:rsidP="00875CAC">
      <w:pPr>
        <w:spacing w:after="120"/>
        <w:rPr>
          <w:rFonts w:ascii="Calibri" w:hAnsi="Calibri" w:cs="Calibri"/>
        </w:rPr>
      </w:pPr>
      <w:r w:rsidRPr="00875CAC">
        <w:rPr>
          <w:rFonts w:ascii="Calibri" w:hAnsi="Calibri" w:cs="Calibri"/>
        </w:rPr>
        <w:t>This formal handoff proves that while the IMHOTEP platform autonomously executes the mechanical and generative labor of software construction, the ultimate authority to accept the system and alter the operational environment remains securely and explicitly in human hands.</w:t>
      </w:r>
    </w:p>
    <w:p w14:paraId="463ACBE8" w14:textId="77777777" w:rsidR="007A32CE" w:rsidRPr="007A32CE" w:rsidRDefault="007B57EE" w:rsidP="007B57EE">
      <w:pPr>
        <w:pStyle w:val="Heading1"/>
        <w:rPr>
          <w:rFonts w:ascii="Calibri" w:hAnsi="Calibri" w:cs="Calibri"/>
        </w:rPr>
      </w:pPr>
      <w:r w:rsidRPr="007A32CE">
        <w:rPr>
          <w:rFonts w:ascii="Calibri" w:hAnsi="Calibri" w:cs="Calibri"/>
        </w:rPr>
        <w:lastRenderedPageBreak/>
        <w:t>Continuous Evolution</w:t>
      </w:r>
    </w:p>
    <w:p w14:paraId="466C4023" w14:textId="5B5E283E" w:rsidR="007B57EE" w:rsidRPr="007A32CE" w:rsidRDefault="007B57EE" w:rsidP="007A32CE">
      <w:pPr>
        <w:pStyle w:val="Heading2"/>
        <w:rPr>
          <w:rFonts w:ascii="Calibri" w:hAnsi="Calibri" w:cs="Calibri"/>
        </w:rPr>
      </w:pPr>
      <w:r w:rsidRPr="007A32CE">
        <w:rPr>
          <w:rFonts w:ascii="Calibri" w:hAnsi="Calibri" w:cs="Calibri"/>
        </w:rPr>
        <w:t>The SDLC "Day 2" Operations</w:t>
      </w:r>
    </w:p>
    <w:p w14:paraId="41E566B7" w14:textId="77777777" w:rsidR="007B57EE" w:rsidRPr="007A32CE" w:rsidRDefault="007B57EE" w:rsidP="007A32CE">
      <w:pPr>
        <w:spacing w:after="120"/>
        <w:rPr>
          <w:rFonts w:ascii="Calibri" w:hAnsi="Calibri" w:cs="Calibri"/>
        </w:rPr>
      </w:pPr>
      <w:r w:rsidRPr="007A32CE">
        <w:rPr>
          <w:rFonts w:ascii="Calibri" w:hAnsi="Calibri" w:cs="Calibri"/>
        </w:rPr>
        <w:t>Unlike traditional software development models that rigidly separate initial development from long-term maintenance, the IMHOTEP architecture inherently supports the continuous evolution of software systems. Because the platform treats the ISL blueprint as the authoritative, living source of truth, it is capable of dynamically adapting the constructed system whenever requirements change.</w:t>
      </w:r>
    </w:p>
    <w:p w14:paraId="18A258D1" w14:textId="77777777" w:rsidR="007B57EE" w:rsidRPr="007A32CE" w:rsidRDefault="007B57EE" w:rsidP="007A32CE">
      <w:pPr>
        <w:spacing w:after="120"/>
        <w:rPr>
          <w:rFonts w:ascii="Calibri" w:hAnsi="Calibri" w:cs="Calibri"/>
        </w:rPr>
      </w:pPr>
      <w:r w:rsidRPr="007A32CE">
        <w:rPr>
          <w:rFonts w:ascii="Calibri" w:hAnsi="Calibri" w:cs="Calibri"/>
          <w:b/>
          <w:bCs/>
        </w:rPr>
        <w:t>Specification Updates and Readiness Reversion</w:t>
      </w:r>
      <w:r w:rsidRPr="007A32CE">
        <w:rPr>
          <w:rFonts w:ascii="Calibri" w:hAnsi="Calibri" w:cs="Calibri"/>
        </w:rPr>
        <w:t xml:space="preserve"> When business objectives, operational environments, or technical constraints shift, human governance authorities modify the active specification blueprint. For example, if the Chief Data Officer (</w:t>
      </w:r>
      <w:r w:rsidRPr="007A32CE">
        <w:rPr>
          <w:rFonts w:ascii="Calibri" w:hAnsi="Calibri" w:cs="Calibri"/>
          <w:sz w:val="20"/>
          <w:szCs w:val="20"/>
        </w:rPr>
        <w:t>STK-003</w:t>
      </w:r>
      <w:r w:rsidRPr="007A32CE">
        <w:rPr>
          <w:rFonts w:ascii="Calibri" w:hAnsi="Calibri" w:cs="Calibri"/>
        </w:rPr>
        <w:t xml:space="preserve">) updates the </w:t>
      </w:r>
      <w:r w:rsidRPr="007A32CE">
        <w:rPr>
          <w:rFonts w:ascii="Calibri" w:hAnsi="Calibri" w:cs="Calibri"/>
          <w:sz w:val="20"/>
          <w:szCs w:val="20"/>
        </w:rPr>
        <w:t>ENT-NODS-PARTY</w:t>
      </w:r>
      <w:r w:rsidRPr="007A32CE">
        <w:rPr>
          <w:rFonts w:ascii="Calibri" w:hAnsi="Calibri" w:cs="Calibri"/>
        </w:rPr>
        <w:t xml:space="preserve"> data entity to include a new mandatory demographic field required by an updated NCSC standard, the specification's readiness level temporarily reverts to a pre-execution stage while the modification is reviewed and validated. Once the updated blueprint regains the </w:t>
      </w:r>
      <w:r w:rsidRPr="007A32CE">
        <w:rPr>
          <w:rFonts w:ascii="Calibri" w:hAnsi="Calibri" w:cs="Calibri"/>
          <w:b/>
          <w:bCs/>
        </w:rPr>
        <w:t>Autonomous-Ready Level</w:t>
      </w:r>
      <w:r w:rsidRPr="007A32CE">
        <w:rPr>
          <w:rFonts w:ascii="Calibri" w:hAnsi="Calibri" w:cs="Calibri"/>
        </w:rPr>
        <w:t>, the platform automatically re-enters the autonomous development loop.</w:t>
      </w:r>
    </w:p>
    <w:p w14:paraId="273617B4" w14:textId="77777777" w:rsidR="007B57EE" w:rsidRPr="007A32CE" w:rsidRDefault="007B57EE" w:rsidP="007A32CE">
      <w:pPr>
        <w:spacing w:after="120"/>
        <w:rPr>
          <w:rFonts w:ascii="Calibri" w:hAnsi="Calibri" w:cs="Calibri"/>
        </w:rPr>
      </w:pPr>
      <w:r w:rsidRPr="007A32CE">
        <w:rPr>
          <w:rFonts w:ascii="Calibri" w:hAnsi="Calibri" w:cs="Calibri"/>
          <w:b/>
          <w:bCs/>
        </w:rPr>
        <w:t>Impact Analysis via the Traceability Graph</w:t>
      </w:r>
      <w:r w:rsidRPr="007A32CE">
        <w:rPr>
          <w:rFonts w:ascii="Calibri" w:hAnsi="Calibri" w:cs="Calibri"/>
        </w:rPr>
        <w:t xml:space="preserve"> Crucially, the platform does not rebuild the entire .NET MACS subsystem from scratch. Instead, it queries the </w:t>
      </w:r>
      <w:r w:rsidRPr="007A32CE">
        <w:rPr>
          <w:rFonts w:ascii="Calibri" w:hAnsi="Calibri" w:cs="Calibri"/>
          <w:b/>
          <w:bCs/>
        </w:rPr>
        <w:t>Traceability Graph (ISL v1.4)</w:t>
      </w:r>
      <w:r w:rsidRPr="007A32CE">
        <w:rPr>
          <w:rFonts w:ascii="Calibri" w:hAnsi="Calibri" w:cs="Calibri"/>
        </w:rPr>
        <w:t xml:space="preserve"> to perform an automated </w:t>
      </w:r>
      <w:r w:rsidRPr="007A32CE">
        <w:rPr>
          <w:rFonts w:ascii="Calibri" w:hAnsi="Calibri" w:cs="Calibri"/>
          <w:b/>
          <w:bCs/>
        </w:rPr>
        <w:t>Impact Analysis</w:t>
      </w:r>
      <w:r w:rsidRPr="007A32CE">
        <w:rPr>
          <w:rFonts w:ascii="Calibri" w:hAnsi="Calibri" w:cs="Calibri"/>
        </w:rPr>
        <w:t xml:space="preserve">. Because every generated artifact in the repository is permanently linked to its originating specification entity, the Traceability Engine instantly determines exactly which system components are affected by the modification to </w:t>
      </w:r>
      <w:r w:rsidRPr="007A32CE">
        <w:rPr>
          <w:rFonts w:ascii="Calibri" w:hAnsi="Calibri" w:cs="Calibri"/>
          <w:sz w:val="20"/>
          <w:szCs w:val="20"/>
        </w:rPr>
        <w:t>ENT-NODS-PARTY</w:t>
      </w:r>
      <w:r w:rsidRPr="007A32CE">
        <w:rPr>
          <w:rFonts w:ascii="Calibri" w:hAnsi="Calibri" w:cs="Calibri"/>
        </w:rPr>
        <w:t>. It mathematically identifies the specific .NET canonical classes (</w:t>
      </w:r>
      <w:proofErr w:type="spellStart"/>
      <w:r w:rsidRPr="007A32CE">
        <w:rPr>
          <w:rFonts w:ascii="Calibri" w:hAnsi="Calibri" w:cs="Calibri"/>
          <w:sz w:val="20"/>
          <w:szCs w:val="20"/>
        </w:rPr>
        <w:t>PartyDetail</w:t>
      </w:r>
      <w:proofErr w:type="spellEnd"/>
      <w:r w:rsidRPr="007A32CE">
        <w:rPr>
          <w:rFonts w:ascii="Calibri" w:hAnsi="Calibri" w:cs="Calibri"/>
        </w:rPr>
        <w:t>), API interfaces (</w:t>
      </w:r>
      <w:r w:rsidRPr="007A32CE">
        <w:rPr>
          <w:rFonts w:ascii="Calibri" w:hAnsi="Calibri" w:cs="Calibri"/>
          <w:sz w:val="20"/>
          <w:szCs w:val="20"/>
        </w:rPr>
        <w:t>INT-001</w:t>
      </w:r>
      <w:r w:rsidRPr="007A32CE">
        <w:rPr>
          <w:rFonts w:ascii="Calibri" w:hAnsi="Calibri" w:cs="Calibri"/>
        </w:rPr>
        <w:t>), and database schemas that require modification, while ignoring unaffected components.</w:t>
      </w:r>
    </w:p>
    <w:p w14:paraId="61381CB2" w14:textId="77777777" w:rsidR="007B57EE" w:rsidRPr="007A32CE" w:rsidRDefault="007B57EE" w:rsidP="007A32CE">
      <w:pPr>
        <w:spacing w:after="120"/>
        <w:rPr>
          <w:rFonts w:ascii="Calibri" w:hAnsi="Calibri" w:cs="Calibri"/>
        </w:rPr>
      </w:pPr>
      <w:r w:rsidRPr="007A32CE">
        <w:rPr>
          <w:rFonts w:ascii="Calibri" w:hAnsi="Calibri" w:cs="Calibri"/>
          <w:b/>
          <w:bCs/>
        </w:rPr>
        <w:t>Targeted Reconstruction</w:t>
      </w:r>
      <w:r w:rsidRPr="007A32CE">
        <w:rPr>
          <w:rFonts w:ascii="Calibri" w:hAnsi="Calibri" w:cs="Calibri"/>
        </w:rPr>
        <w:t xml:space="preserve"> Using the results of the Impact Analysis, the Planning Engine generates a </w:t>
      </w:r>
      <w:r w:rsidRPr="007A32CE">
        <w:rPr>
          <w:rFonts w:ascii="Calibri" w:hAnsi="Calibri" w:cs="Calibri"/>
          <w:b/>
          <w:bCs/>
        </w:rPr>
        <w:t>revised, targeted construction plan</w:t>
      </w:r>
      <w:r w:rsidRPr="007A32CE">
        <w:rPr>
          <w:rFonts w:ascii="Calibri" w:hAnsi="Calibri" w:cs="Calibri"/>
        </w:rPr>
        <w:t xml:space="preserve">. The Agent Orchestrator dispatches the Implementation Generator to incrementally update only the impacted .NET artifacts and database schemas. These modified artifacts are then immediately routed back through the Tool Plugin Architecture for deterministic verification (e.g., executing the </w:t>
      </w:r>
      <w:r w:rsidRPr="007A32CE">
        <w:rPr>
          <w:rFonts w:ascii="Calibri" w:hAnsi="Calibri" w:cs="Calibri"/>
          <w:sz w:val="20"/>
          <w:szCs w:val="20"/>
        </w:rPr>
        <w:t>VAL-001</w:t>
      </w:r>
      <w:r w:rsidRPr="007A32CE">
        <w:rPr>
          <w:rFonts w:ascii="Calibri" w:hAnsi="Calibri" w:cs="Calibri"/>
        </w:rPr>
        <w:t xml:space="preserve"> Schema Validation Plugin to ensure the new field perfectly matches the </w:t>
      </w:r>
      <w:proofErr w:type="spellStart"/>
      <w:r w:rsidRPr="007A32CE">
        <w:rPr>
          <w:rFonts w:ascii="Calibri" w:hAnsi="Calibri" w:cs="Calibri"/>
          <w:sz w:val="20"/>
          <w:szCs w:val="20"/>
        </w:rPr>
        <w:t>Psj_Court_Canonical</w:t>
      </w:r>
      <w:proofErr w:type="spellEnd"/>
      <w:r w:rsidRPr="007A32CE">
        <w:rPr>
          <w:rFonts w:ascii="Calibri" w:hAnsi="Calibri" w:cs="Calibri"/>
        </w:rPr>
        <w:t xml:space="preserve"> schema).</w:t>
      </w:r>
    </w:p>
    <w:p w14:paraId="40B1BD5E" w14:textId="77777777" w:rsidR="007B57EE" w:rsidRPr="007A32CE" w:rsidRDefault="007B57EE" w:rsidP="007A32CE">
      <w:pPr>
        <w:spacing w:after="120"/>
        <w:rPr>
          <w:rFonts w:ascii="Calibri" w:hAnsi="Calibri" w:cs="Calibri"/>
        </w:rPr>
      </w:pPr>
      <w:r w:rsidRPr="007A32CE">
        <w:rPr>
          <w:rFonts w:ascii="Calibri" w:hAnsi="Calibri" w:cs="Calibri"/>
        </w:rPr>
        <w:t>By leveraging its memory and traceability models for targeted reconstruction, the IMHOTEP platform ensures that the operational MACS REST service remains continuously and perfectly aligned with the evolving enterprise blueprint, replacing the traditional manual maintenance phase with an automated, specification-driven evolution cycle.</w:t>
      </w:r>
    </w:p>
    <w:p w14:paraId="6A6477DD" w14:textId="77777777" w:rsidR="004A2D8B" w:rsidRDefault="004A2D8B"/>
    <w:sectPr w:rsidR="004A2D8B"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2EBA"/>
    <w:multiLevelType w:val="multilevel"/>
    <w:tmpl w:val="A9D0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B0179"/>
    <w:multiLevelType w:val="multilevel"/>
    <w:tmpl w:val="3D3A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C00C2"/>
    <w:multiLevelType w:val="multilevel"/>
    <w:tmpl w:val="63B6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36986"/>
    <w:multiLevelType w:val="multilevel"/>
    <w:tmpl w:val="2B5C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E68E1"/>
    <w:multiLevelType w:val="multilevel"/>
    <w:tmpl w:val="A5F4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436E9"/>
    <w:multiLevelType w:val="multilevel"/>
    <w:tmpl w:val="AAC4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25474"/>
    <w:multiLevelType w:val="multilevel"/>
    <w:tmpl w:val="7A98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8E7465"/>
    <w:multiLevelType w:val="multilevel"/>
    <w:tmpl w:val="1AC6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993563"/>
    <w:multiLevelType w:val="multilevel"/>
    <w:tmpl w:val="B10E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392173">
    <w:abstractNumId w:val="0"/>
  </w:num>
  <w:num w:numId="2" w16cid:durableId="1606427010">
    <w:abstractNumId w:val="4"/>
  </w:num>
  <w:num w:numId="3" w16cid:durableId="1033268288">
    <w:abstractNumId w:val="5"/>
  </w:num>
  <w:num w:numId="4" w16cid:durableId="1590189117">
    <w:abstractNumId w:val="2"/>
  </w:num>
  <w:num w:numId="5" w16cid:durableId="1958875023">
    <w:abstractNumId w:val="6"/>
  </w:num>
  <w:num w:numId="6" w16cid:durableId="242766655">
    <w:abstractNumId w:val="1"/>
  </w:num>
  <w:num w:numId="7" w16cid:durableId="1984505307">
    <w:abstractNumId w:val="3"/>
  </w:num>
  <w:num w:numId="8" w16cid:durableId="1237016093">
    <w:abstractNumId w:val="8"/>
  </w:num>
  <w:num w:numId="9" w16cid:durableId="18967737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D8B"/>
    <w:rsid w:val="000A171A"/>
    <w:rsid w:val="00223A5B"/>
    <w:rsid w:val="00252200"/>
    <w:rsid w:val="002E7B10"/>
    <w:rsid w:val="004A2D8B"/>
    <w:rsid w:val="005711DC"/>
    <w:rsid w:val="005F714F"/>
    <w:rsid w:val="006A7C31"/>
    <w:rsid w:val="006F4208"/>
    <w:rsid w:val="007A32CE"/>
    <w:rsid w:val="007B57EE"/>
    <w:rsid w:val="0085033D"/>
    <w:rsid w:val="00875CAC"/>
    <w:rsid w:val="008A23D5"/>
    <w:rsid w:val="008F06EE"/>
    <w:rsid w:val="00984106"/>
    <w:rsid w:val="00997A3E"/>
    <w:rsid w:val="00A2277E"/>
    <w:rsid w:val="00A264BA"/>
    <w:rsid w:val="00B863A6"/>
    <w:rsid w:val="00B951F6"/>
    <w:rsid w:val="00C2250B"/>
    <w:rsid w:val="00CA38A3"/>
    <w:rsid w:val="00CE1413"/>
    <w:rsid w:val="00D26397"/>
    <w:rsid w:val="00E440EF"/>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FB4AF"/>
  <w15:chartTrackingRefBased/>
  <w15:docId w15:val="{9692396D-58E4-E447-868B-F1C724B65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1F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A2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2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2D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D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D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D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D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D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D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D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2D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2D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D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D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D8B"/>
    <w:rPr>
      <w:rFonts w:eastAsiaTheme="majorEastAsia" w:cstheme="majorBidi"/>
      <w:color w:val="272727" w:themeColor="text1" w:themeTint="D8"/>
    </w:rPr>
  </w:style>
  <w:style w:type="paragraph" w:styleId="Title">
    <w:name w:val="Title"/>
    <w:basedOn w:val="Normal"/>
    <w:next w:val="Normal"/>
    <w:link w:val="TitleChar"/>
    <w:uiPriority w:val="10"/>
    <w:qFormat/>
    <w:rsid w:val="004A2D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D8B"/>
    <w:pPr>
      <w:spacing w:before="160"/>
      <w:jc w:val="center"/>
    </w:pPr>
    <w:rPr>
      <w:i/>
      <w:iCs/>
      <w:color w:val="404040" w:themeColor="text1" w:themeTint="BF"/>
    </w:rPr>
  </w:style>
  <w:style w:type="character" w:customStyle="1" w:styleId="QuoteChar">
    <w:name w:val="Quote Char"/>
    <w:basedOn w:val="DefaultParagraphFont"/>
    <w:link w:val="Quote"/>
    <w:uiPriority w:val="29"/>
    <w:rsid w:val="004A2D8B"/>
    <w:rPr>
      <w:i/>
      <w:iCs/>
      <w:color w:val="404040" w:themeColor="text1" w:themeTint="BF"/>
    </w:rPr>
  </w:style>
  <w:style w:type="paragraph" w:styleId="ListParagraph">
    <w:name w:val="List Paragraph"/>
    <w:basedOn w:val="Normal"/>
    <w:uiPriority w:val="34"/>
    <w:qFormat/>
    <w:rsid w:val="004A2D8B"/>
    <w:pPr>
      <w:ind w:left="720"/>
      <w:contextualSpacing/>
    </w:pPr>
  </w:style>
  <w:style w:type="character" w:styleId="IntenseEmphasis">
    <w:name w:val="Intense Emphasis"/>
    <w:basedOn w:val="DefaultParagraphFont"/>
    <w:uiPriority w:val="21"/>
    <w:qFormat/>
    <w:rsid w:val="004A2D8B"/>
    <w:rPr>
      <w:i/>
      <w:iCs/>
      <w:color w:val="0F4761" w:themeColor="accent1" w:themeShade="BF"/>
    </w:rPr>
  </w:style>
  <w:style w:type="paragraph" w:styleId="IntenseQuote">
    <w:name w:val="Intense Quote"/>
    <w:basedOn w:val="Normal"/>
    <w:next w:val="Normal"/>
    <w:link w:val="IntenseQuoteChar"/>
    <w:uiPriority w:val="30"/>
    <w:qFormat/>
    <w:rsid w:val="004A2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D8B"/>
    <w:rPr>
      <w:i/>
      <w:iCs/>
      <w:color w:val="0F4761" w:themeColor="accent1" w:themeShade="BF"/>
    </w:rPr>
  </w:style>
  <w:style w:type="character" w:styleId="IntenseReference">
    <w:name w:val="Intense Reference"/>
    <w:basedOn w:val="DefaultParagraphFont"/>
    <w:uiPriority w:val="32"/>
    <w:qFormat/>
    <w:rsid w:val="004A2D8B"/>
    <w:rPr>
      <w:b/>
      <w:bCs/>
      <w:smallCaps/>
      <w:color w:val="0F4761" w:themeColor="accent1" w:themeShade="BF"/>
      <w:spacing w:val="5"/>
    </w:rPr>
  </w:style>
  <w:style w:type="paragraph" w:styleId="NormalWeb">
    <w:name w:val="Normal (Web)"/>
    <w:basedOn w:val="Normal"/>
    <w:uiPriority w:val="99"/>
    <w:semiHidden/>
    <w:unhideWhenUsed/>
    <w:rsid w:val="004A2D8B"/>
    <w:pPr>
      <w:spacing w:before="100" w:beforeAutospacing="1" w:after="100" w:afterAutospacing="1"/>
    </w:pPr>
  </w:style>
  <w:style w:type="character" w:styleId="Strong">
    <w:name w:val="Strong"/>
    <w:basedOn w:val="DefaultParagraphFont"/>
    <w:uiPriority w:val="22"/>
    <w:qFormat/>
    <w:rsid w:val="004A2D8B"/>
    <w:rPr>
      <w:b/>
      <w:bCs/>
    </w:rPr>
  </w:style>
  <w:style w:type="paragraph" w:styleId="HTMLPreformatted">
    <w:name w:val="HTML Preformatted"/>
    <w:basedOn w:val="Normal"/>
    <w:link w:val="HTMLPreformattedChar"/>
    <w:uiPriority w:val="99"/>
    <w:semiHidden/>
    <w:unhideWhenUsed/>
    <w:rsid w:val="004A2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A2D8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A2D8B"/>
    <w:rPr>
      <w:rFonts w:ascii="Courier New" w:eastAsia="Times New Roman" w:hAnsi="Courier New" w:cs="Courier New"/>
      <w:sz w:val="20"/>
      <w:szCs w:val="20"/>
    </w:rPr>
  </w:style>
  <w:style w:type="character" w:customStyle="1" w:styleId="ng-star-inserted">
    <w:name w:val="ng-star-inserted"/>
    <w:basedOn w:val="DefaultParagraphFont"/>
    <w:rsid w:val="004A2D8B"/>
  </w:style>
  <w:style w:type="character" w:styleId="Emphasis">
    <w:name w:val="Emphasis"/>
    <w:basedOn w:val="DefaultParagraphFont"/>
    <w:uiPriority w:val="20"/>
    <w:qFormat/>
    <w:rsid w:val="00B951F6"/>
    <w:rPr>
      <w:i/>
      <w:iCs/>
    </w:rPr>
  </w:style>
  <w:style w:type="paragraph" w:customStyle="1" w:styleId="paragraph">
    <w:name w:val="paragraph"/>
    <w:basedOn w:val="Normal"/>
    <w:rsid w:val="005711DC"/>
    <w:pPr>
      <w:spacing w:before="100" w:beforeAutospacing="1" w:after="100" w:afterAutospacing="1"/>
    </w:pPr>
  </w:style>
  <w:style w:type="paragraph" w:customStyle="1" w:styleId="ember-view">
    <w:name w:val="ember-view"/>
    <w:basedOn w:val="Normal"/>
    <w:rsid w:val="0085033D"/>
    <w:pPr>
      <w:spacing w:before="100" w:beforeAutospacing="1" w:after="100" w:afterAutospacing="1"/>
    </w:pPr>
  </w:style>
  <w:style w:type="character" w:styleId="Hyperlink">
    <w:name w:val="Hyperlink"/>
    <w:basedOn w:val="DefaultParagraphFont"/>
    <w:uiPriority w:val="99"/>
    <w:semiHidden/>
    <w:unhideWhenUsed/>
    <w:rsid w:val="0085033D"/>
    <w:rPr>
      <w:color w:val="0000FF"/>
      <w:u w:val="single"/>
    </w:rPr>
  </w:style>
  <w:style w:type="character" w:customStyle="1" w:styleId="white-space-pre">
    <w:name w:val="white-space-pre"/>
    <w:basedOn w:val="DefaultParagraphFont"/>
    <w:rsid w:val="00850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ci-repos/Imhotep.Specifications%E2%80%9D" TargetMode="External"/><Relationship Id="rId5" Type="http://schemas.openxmlformats.org/officeDocument/2006/relationships/hyperlink" Target="http://discussion.i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9</Pages>
  <Words>3705</Words>
  <Characters>21119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8</cp:revision>
  <dcterms:created xsi:type="dcterms:W3CDTF">2026-03-23T20:06:00Z</dcterms:created>
  <dcterms:modified xsi:type="dcterms:W3CDTF">2026-03-28T12:55:00Z</dcterms:modified>
</cp:coreProperties>
</file>