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4057"/>
          <w:sz w:val="40"/>
          <w:szCs w:val="40"/>
        </w:rPr>
        <w:t xml:space="preserve">DOR Legislative Tracking System</w:t>
      </w:r>
    </w:p>
    <w:p>
      <w:pPr>
        <w:spacing w:after="60"/>
      </w:pPr>
      <w:r>
        <w:rPr>
          <w:rFonts w:ascii="Arial" w:cs="Arial" w:eastAsia="Arial" w:hAnsi="Arial"/>
          <w:b/>
          <w:bCs/>
          <w:color w:val="444444"/>
          <w:sz w:val="32"/>
          <w:szCs w:val="32"/>
        </w:rPr>
        <w:t xml:space="preserve">Requirements Gap Analysis</w:t>
      </w:r>
    </w:p>
    <w:p>
      <w:pPr>
        <w:spacing w:after="400"/>
      </w:pPr>
      <w:r>
        <w:rPr>
          <w:rFonts w:ascii="Arial" w:cs="Arial" w:eastAsia="Arial" w:hAnsi="Arial"/>
          <w:i/>
          <w:iCs/>
          <w:color w:val="666666"/>
          <w:sz w:val="22"/>
          <w:szCs w:val="22"/>
        </w:rPr>
        <w:t xml:space="preserve">RFP 20226-02 — Review of Exhibit A (Business Requirements) and Exhibit B (Technical Requirements) Agile Backlogs</w:t>
      </w:r>
    </w:p>
    <w:p>
      <w:pPr>
        <w:pStyle w:val="Heading1"/>
        <w:spacing w:after="180" w:before="360"/>
        <w:rPr>
          <w:rFonts w:ascii="Arial" w:cs="Arial" w:eastAsia="Arial" w:hAnsi="Arial"/>
        </w:rPr>
      </w:pPr>
      <w:r>
        <w:t xml:space="preserve">1. Purpose and Scope</w:t>
      </w:r>
    </w:p>
    <w:p>
      <w:pPr>
        <w:spacing w:after="160"/>
      </w:pPr>
      <w:r>
        <w:rPr>
          <w:rFonts w:ascii="Arial" w:cs="Arial" w:eastAsia="Arial" w:hAnsi="Arial"/>
        </w:rPr>
        <w:t xml:space="preserve">This gap analysis evaluates whether the DOR Agile Backlog User Stories (69 business stories derived from Exhibit A) and the DOR Technical Agile Backlog User Stories (94 technical stories derived from Exhibit B) contain sufficient requirement detail to design, estimate, and deliver a viable Legislative Tracking System. The review is organized around the solicitation's stated expectations for a unified legislative analysis platform, automated legislative data handling, structured analysis production, role-based workflows and dashboards, governance and access controls, external system integration, reporting and decision support, session-ready operations, and non-functional requirements.</w:t>
      </w:r>
    </w:p>
    <w:p>
      <w:pPr>
        <w:spacing w:after="160"/>
      </w:pPr>
      <w:r>
        <w:rPr>
          <w:rFonts w:ascii="Arial" w:cs="Arial" w:eastAsia="Arial" w:hAnsi="Arial"/>
        </w:rPr>
        <w:t xml:space="preserve">This analysis is based solely on the content of the two backlog files as provided. Where a backlog story itself records an open question or an explicit statement that source information is missing, that is noted directly rather than inferred or assumed.</w:t>
      </w:r>
    </w:p>
    <w:p>
      <w:pPr>
        <w:pStyle w:val="Heading1"/>
        <w:spacing w:after="180" w:before="360"/>
        <w:rPr>
          <w:rFonts w:ascii="Arial" w:cs="Arial" w:eastAsia="Arial" w:hAnsi="Arial"/>
        </w:rPr>
      </w:pPr>
      <w:r>
        <w:t xml:space="preserve">2. Overall Assessment</w:t>
      </w:r>
    </w:p>
    <w:p>
      <w:pPr>
        <w:spacing w:after="160"/>
      </w:pPr>
      <w:r>
        <w:rPr>
          <w:rFonts w:ascii="Arial" w:cs="Arial" w:eastAsia="Arial" w:hAnsi="Arial"/>
        </w:rPr>
        <w:t xml:space="preserve">The requirements are not yet complete enough to build a viable system without further refinement. This is not because backlog coverage is thin — both files are extensive and well-structured, with Epic, Feature, and User Story traceability back to source requirement IDs. Rather, a material number of stories explicitly flag their own scope as undefined through recorded open questions, and several solicitation expectations that are named specifically in the RFP language do not appear by name anywhere in either backlog.</w:t>
      </w:r>
    </w:p>
    <w:p>
      <w:pPr>
        <w:spacing w:after="160"/>
      </w:pPr>
      <w:r>
        <w:rPr>
          <w:rFonts w:ascii="Arial" w:cs="Arial" w:eastAsia="Arial" w:hAnsi="Arial"/>
        </w:rPr>
        <w:t xml:space="preserve">The most significant concentration of unresolved scope falls into five areas: the authoritative role and permission matrix, the external System Integration Inventory naming OFM's Fiscal Note System (FNS), the Bill Enrollment and Agency Request System (BEARS), and APIS, statutory turnaround deadlines (48-hour bill description, 72-hour fiscal note, rapid-turnaround for near-term hearings), the sensitivity and privilege classification model underlying governance and visibility restrictions, and mandatory export formats and OFM compliance requirements. These are detailed in Section 4.</w:t>
      </w:r>
    </w:p>
    <w:p>
      <w:pPr>
        <w:pStyle w:val="Heading1"/>
        <w:spacing w:after="180" w:before="360"/>
        <w:rPr>
          <w:rFonts w:ascii="Arial" w:cs="Arial" w:eastAsia="Arial" w:hAnsi="Arial"/>
        </w:rPr>
      </w:pPr>
      <w:r>
        <w:t xml:space="preserve">3. Coverage Summary by Solicitation Expectation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4057" w:val="clear"/>
            <w:tcMar>
              <w:top w:type="dxa" w:w="80"/>
              <w:left w:type="dxa" w:w="100"/>
              <w:bottom w:type="dxa" w:w="80"/>
              <w:right w:type="dxa" w:w="100"/>
            </w:tcMar>
            <w:vAlign w:val="center"/>
          </w:tcPr>
          <w:p>
            <w:r>
              <w:rPr>
                <w:rFonts w:ascii="Arial" w:cs="Arial" w:eastAsia="Arial" w:hAnsi="Arial"/>
                <w:b/>
                <w:bCs/>
                <w:color w:val="FFFFFF"/>
                <w:sz w:val="20"/>
                <w:szCs w:val="20"/>
              </w:rPr>
              <w:t xml:space="preserve">Solicitation Expectation</w:t>
            </w:r>
          </w:p>
        </w:tc>
        <w:tc>
          <w:tcPr>
            <w:shd w:fill="2E4057" w:val="clear"/>
            <w:tcMar>
              <w:top w:type="dxa" w:w="80"/>
              <w:left w:type="dxa" w:w="100"/>
              <w:bottom w:type="dxa" w:w="80"/>
              <w:right w:type="dxa" w:w="100"/>
            </w:tcMar>
            <w:vAlign w:val="center"/>
          </w:tcPr>
          <w:p>
            <w:r>
              <w:rPr>
                <w:rFonts w:ascii="Arial" w:cs="Arial" w:eastAsia="Arial" w:hAnsi="Arial"/>
                <w:b/>
                <w:bCs/>
                <w:color w:val="FFFFFF"/>
                <w:sz w:val="20"/>
                <w:szCs w:val="20"/>
              </w:rPr>
              <w:t xml:space="preserve">Status</w:t>
            </w:r>
          </w:p>
        </w:tc>
        <w:tc>
          <w:tcPr>
            <w:shd w:fill="2E4057" w:val="clear"/>
            <w:tcMar>
              <w:top w:type="dxa" w:w="80"/>
              <w:left w:type="dxa" w:w="100"/>
              <w:bottom w:type="dxa" w:w="80"/>
              <w:right w:type="dxa" w:w="100"/>
            </w:tcMar>
            <w:vAlign w:val="center"/>
          </w:tcPr>
          <w:p>
            <w:r>
              <w:rPr>
                <w:rFonts w:ascii="Arial" w:cs="Arial" w:eastAsia="Arial" w:hAnsi="Arial"/>
                <w:b/>
                <w:bCs/>
                <w:color w:val="FFFFFF"/>
                <w:sz w:val="20"/>
                <w:szCs w:val="20"/>
              </w:rPr>
              <w:t xml:space="preserve">Key Evidence / Missing Item</w:t>
            </w:r>
          </w:p>
        </w:tc>
      </w:tr>
      <w:tr>
        <w:tc>
          <w:tcPr>
            <w:tcMar>
              <w:top w:type="dxa" w:w="80"/>
              <w:left w:type="dxa" w:w="100"/>
              <w:bottom w:type="dxa" w:w="80"/>
              <w:right w:type="dxa" w:w="100"/>
            </w:tcMar>
            <w:vAlign w:val="center"/>
          </w:tcPr>
          <w:p>
            <w:r>
              <w:rPr>
                <w:rFonts w:ascii="Arial" w:cs="Arial" w:eastAsia="Arial" w:hAnsi="Arial"/>
                <w:b/>
                <w:bCs/>
                <w:sz w:val="20"/>
                <w:szCs w:val="20"/>
              </w:rPr>
              <w:t xml:space="preserve">Unified legislative analysis platform</w:t>
            </w:r>
          </w:p>
        </w:tc>
        <w:tc>
          <w:tcPr>
            <w:tcW w:type="dxa" w:w="1500"/>
            <w:tcMar>
              <w:top w:type="dxa" w:w="80"/>
              <w:left w:type="dxa" w:w="100"/>
              <w:bottom w:type="dxa" w:w="80"/>
              <w:right w:type="dxa" w:w="100"/>
            </w:tcMar>
            <w:vAlign w:val="center"/>
          </w:tcPr>
          <w:p>
            <w:r>
              <w:rPr>
                <w:rFonts w:ascii="Arial" w:cs="Arial" w:eastAsia="Arial" w:hAnsi="Arial"/>
                <w:b/>
                <w:bCs/>
                <w:color w:val="1E7B34"/>
                <w:sz w:val="20"/>
                <w:szCs w:val="20"/>
              </w:rPr>
              <w:t xml:space="preserve">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US-1.1.1, US-2.2.1, US-2.2.2 establish a single, cross-division work structure for RFA and L&amp;P.</w:t>
            </w:r>
          </w:p>
        </w:tc>
      </w:tr>
      <w:tr>
        <w:tc>
          <w:tcPr>
            <w:tcMar>
              <w:top w:type="dxa" w:w="80"/>
              <w:left w:type="dxa" w:w="100"/>
              <w:bottom w:type="dxa" w:w="80"/>
              <w:right w:type="dxa" w:w="100"/>
            </w:tcMar>
            <w:vAlign w:val="center"/>
          </w:tcPr>
          <w:p>
            <w:r>
              <w:rPr>
                <w:rFonts w:ascii="Arial" w:cs="Arial" w:eastAsia="Arial" w:hAnsi="Arial"/>
                <w:b/>
                <w:bCs/>
                <w:sz w:val="20"/>
                <w:szCs w:val="20"/>
              </w:rPr>
              <w:t xml:space="preserve">Automated legislative data handling</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Ingestion covered (US-5.1.1-3, US-5.2.3); "real-time" latency and version/amendment notification triggers undefined.</w:t>
            </w:r>
          </w:p>
        </w:tc>
      </w:tr>
      <w:tr>
        <w:tc>
          <w:tcPr>
            <w:tcMar>
              <w:top w:type="dxa" w:w="80"/>
              <w:left w:type="dxa" w:w="100"/>
              <w:bottom w:type="dxa" w:w="80"/>
              <w:right w:type="dxa" w:w="100"/>
            </w:tcMar>
            <w:vAlign w:val="center"/>
          </w:tcPr>
          <w:p>
            <w:r>
              <w:rPr>
                <w:rFonts w:ascii="Arial" w:cs="Arial" w:eastAsia="Arial" w:hAnsi="Arial"/>
                <w:b/>
                <w:bCs/>
                <w:sz w:val="20"/>
                <w:szCs w:val="20"/>
              </w:rPr>
              <w:t xml:space="preserve">Structured analysis production</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Templates and editors covered (US-4.1.1-US-4.3.4); mandatory export formats and OFM compliance not specified (US-6.2.4 open question).</w:t>
            </w:r>
          </w:p>
        </w:tc>
      </w:tr>
      <w:tr>
        <w:tc>
          <w:tcPr>
            <w:tcMar>
              <w:top w:type="dxa" w:w="80"/>
              <w:left w:type="dxa" w:w="100"/>
              <w:bottom w:type="dxa" w:w="80"/>
              <w:right w:type="dxa" w:w="100"/>
            </w:tcMar>
            <w:vAlign w:val="center"/>
          </w:tcPr>
          <w:p>
            <w:r>
              <w:rPr>
                <w:rFonts w:ascii="Arial" w:cs="Arial" w:eastAsia="Arial" w:hAnsi="Arial"/>
                <w:b/>
                <w:bCs/>
                <w:sz w:val="20"/>
                <w:szCs w:val="20"/>
              </w:rPr>
              <w:t xml:space="preserve">Role-based workflows and dashboards</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Workflow and work-queue mechanics exist (US-1.3.5, US-3.1.1-3); no consolidated role catalog or dashboard-by-role specification.</w:t>
            </w:r>
          </w:p>
        </w:tc>
      </w:tr>
      <w:tr>
        <w:tc>
          <w:tcPr>
            <w:tcMar>
              <w:top w:type="dxa" w:w="80"/>
              <w:left w:type="dxa" w:w="100"/>
              <w:bottom w:type="dxa" w:w="80"/>
              <w:right w:type="dxa" w:w="100"/>
            </w:tcMar>
            <w:vAlign w:val="center"/>
          </w:tcPr>
          <w:p>
            <w:r>
              <w:rPr>
                <w:rFonts w:ascii="Arial" w:cs="Arial" w:eastAsia="Arial" w:hAnsi="Arial"/>
                <w:b/>
                <w:bCs/>
                <w:sz w:val="20"/>
                <w:szCs w:val="20"/>
              </w:rPr>
              <w:t xml:space="preserve">Governance, auditability, and access controls</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Audit logging is strong (TS-10.4); sensitivity/privilege classification model for restricting internal drafts is undefined.</w:t>
            </w:r>
          </w:p>
        </w:tc>
      </w:tr>
      <w:tr>
        <w:tc>
          <w:tcPr>
            <w:tcMar>
              <w:top w:type="dxa" w:w="80"/>
              <w:left w:type="dxa" w:w="100"/>
              <w:bottom w:type="dxa" w:w="80"/>
              <w:right w:type="dxa" w:w="100"/>
            </w:tcMar>
            <w:vAlign w:val="center"/>
          </w:tcPr>
          <w:p>
            <w:r>
              <w:rPr>
                <w:rFonts w:ascii="Arial" w:cs="Arial" w:eastAsia="Arial" w:hAnsi="Arial"/>
                <w:b/>
                <w:bCs/>
                <w:sz w:val="20"/>
                <w:szCs w:val="20"/>
              </w:rPr>
              <w:t xml:space="preserve">Integration with external systems</w:t>
            </w:r>
          </w:p>
        </w:tc>
        <w:tc>
          <w:tcPr>
            <w:tcW w:type="dxa" w:w="1500"/>
            <w:tcMar>
              <w:top w:type="dxa" w:w="80"/>
              <w:left w:type="dxa" w:w="100"/>
              <w:bottom w:type="dxa" w:w="80"/>
              <w:right w:type="dxa" w:w="100"/>
            </w:tcMar>
            <w:vAlign w:val="center"/>
          </w:tcPr>
          <w:p>
            <w:r>
              <w:rPr>
                <w:rFonts w:ascii="Arial" w:cs="Arial" w:eastAsia="Arial" w:hAnsi="Arial"/>
                <w:b/>
                <w:bCs/>
                <w:color w:val="B00020"/>
                <w:sz w:val="20"/>
                <w:szCs w:val="20"/>
              </w:rPr>
              <w:t xml:space="preserve">Gap</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OFM Fiscal Note System (FNS), BEARS, and APIS are not named in either backlog; System Integration Inventory does not yet exist (TS-6.3).</w:t>
            </w:r>
          </w:p>
        </w:tc>
      </w:tr>
      <w:tr>
        <w:tc>
          <w:tcPr>
            <w:tcMar>
              <w:top w:type="dxa" w:w="80"/>
              <w:left w:type="dxa" w:w="100"/>
              <w:bottom w:type="dxa" w:w="80"/>
              <w:right w:type="dxa" w:w="100"/>
            </w:tcMar>
            <w:vAlign w:val="center"/>
          </w:tcPr>
          <w:p>
            <w:r>
              <w:rPr>
                <w:rFonts w:ascii="Arial" w:cs="Arial" w:eastAsia="Arial" w:hAnsi="Arial"/>
                <w:b/>
                <w:bCs/>
                <w:sz w:val="20"/>
                <w:szCs w:val="20"/>
              </w:rPr>
              <w:t xml:space="preserve">Reporting and decision support tools</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Search, custom queries, and extraction exist (US-6.1.1, US-6.2.1-4); queue-level/workload-level and executive decision-support reporting not broken out.</w:t>
            </w:r>
          </w:p>
        </w:tc>
      </w:tr>
      <w:tr>
        <w:tc>
          <w:tcPr>
            <w:tcMar>
              <w:top w:type="dxa" w:w="80"/>
              <w:left w:type="dxa" w:w="100"/>
              <w:bottom w:type="dxa" w:w="80"/>
              <w:right w:type="dxa" w:w="100"/>
            </w:tcMar>
            <w:vAlign w:val="center"/>
          </w:tcPr>
          <w:p>
            <w:r>
              <w:rPr>
                <w:rFonts w:ascii="Arial" w:cs="Arial" w:eastAsia="Arial" w:hAnsi="Arial"/>
                <w:b/>
                <w:bCs/>
                <w:sz w:val="20"/>
                <w:szCs w:val="20"/>
              </w:rPr>
              <w:t xml:space="preserve">Session-ready operations</w:t>
            </w:r>
          </w:p>
        </w:tc>
        <w:tc>
          <w:tcPr>
            <w:tcW w:type="dxa" w:w="1500"/>
            <w:tcMar>
              <w:top w:type="dxa" w:w="80"/>
              <w:left w:type="dxa" w:w="100"/>
              <w:bottom w:type="dxa" w:w="80"/>
              <w:right w:type="dxa" w:w="100"/>
            </w:tcMar>
            <w:vAlign w:val="center"/>
          </w:tcPr>
          <w:p>
            <w:r>
              <w:rPr>
                <w:rFonts w:ascii="Arial" w:cs="Arial" w:eastAsia="Arial" w:hAnsi="Arial"/>
                <w:b/>
                <w:bCs/>
                <w:color w:val="B36B00"/>
                <w:sz w:val="20"/>
                <w:szCs w:val="20"/>
              </w:rPr>
              <w:t xml:space="preserve">Partially 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Concurrency, uptime, and burst handling are well specified (TS-11.1-15); the 48-hour bill description and 72-hour fiscal note statutory deadlines are absent from both backlogs.</w:t>
            </w:r>
          </w:p>
        </w:tc>
      </w:tr>
      <w:tr>
        <w:tc>
          <w:tcPr>
            <w:tcMar>
              <w:top w:type="dxa" w:w="80"/>
              <w:left w:type="dxa" w:w="100"/>
              <w:bottom w:type="dxa" w:w="80"/>
              <w:right w:type="dxa" w:w="100"/>
            </w:tcMar>
            <w:vAlign w:val="center"/>
          </w:tcPr>
          <w:p>
            <w:r>
              <w:rPr>
                <w:rFonts w:ascii="Arial" w:cs="Arial" w:eastAsia="Arial" w:hAnsi="Arial"/>
                <w:b/>
                <w:bCs/>
                <w:sz w:val="20"/>
                <w:szCs w:val="20"/>
              </w:rPr>
              <w:t xml:space="preserve">Non-functional requirements</w:t>
            </w:r>
          </w:p>
        </w:tc>
        <w:tc>
          <w:tcPr>
            <w:tcW w:type="dxa" w:w="1500"/>
            <w:tcMar>
              <w:top w:type="dxa" w:w="80"/>
              <w:left w:type="dxa" w:w="100"/>
              <w:bottom w:type="dxa" w:w="80"/>
              <w:right w:type="dxa" w:w="100"/>
            </w:tcMar>
            <w:vAlign w:val="center"/>
          </w:tcPr>
          <w:p>
            <w:r>
              <w:rPr>
                <w:rFonts w:ascii="Arial" w:cs="Arial" w:eastAsia="Arial" w:hAnsi="Arial"/>
                <w:b/>
                <w:bCs/>
                <w:color w:val="1E7B34"/>
                <w:sz w:val="20"/>
                <w:szCs w:val="20"/>
              </w:rPr>
              <w:t xml:space="preserve">Covered</w:t>
            </w:r>
          </w:p>
        </w:tc>
        <w:tc>
          <w:tcPr>
            <w:tcMar>
              <w:top w:type="dxa" w:w="80"/>
              <w:left w:type="dxa" w:w="100"/>
              <w:bottom w:type="dxa" w:w="80"/>
              <w:right w:type="dxa" w:w="100"/>
            </w:tcMar>
            <w:vAlign w:val="center"/>
          </w:tcPr>
          <w:p>
            <w:r>
              <w:rPr>
                <w:rFonts w:ascii="Arial" w:cs="Arial" w:eastAsia="Arial" w:hAnsi="Arial"/>
                <w:b w:val="false"/>
                <w:bCs w:val="false"/>
                <w:sz w:val="20"/>
                <w:szCs w:val="20"/>
              </w:rPr>
              <w:t xml:space="preserve">Security, accessibility (WCAG 2.2 AA), disaster recovery, and monitoring are specified with measurable targets (TR-301-310, TR-501-503, TR-402-405, TR-1001-1004).</w:t>
            </w:r>
          </w:p>
        </w:tc>
      </w:tr>
    </w:tbl>
    <w:p>
      <w:r>
        <w:br w:type="page"/>
      </w:r>
    </w:p>
    <w:p>
      <w:pPr>
        <w:pStyle w:val="Heading1"/>
        <w:spacing w:after="180" w:before="360"/>
        <w:rPr>
          <w:rFonts w:ascii="Arial" w:cs="Arial" w:eastAsia="Arial" w:hAnsi="Arial"/>
        </w:rPr>
      </w:pPr>
      <w:r>
        <w:t xml:space="preserve">4. Detailed Findings</w:t>
      </w:r>
    </w:p>
    <w:p>
      <w:pPr>
        <w:spacing w:after="80" w:before="320"/>
      </w:pPr>
      <w:r>
        <w:rPr>
          <w:rFonts w:ascii="Arial" w:cs="Arial" w:eastAsia="Arial" w:hAnsi="Arial"/>
          <w:b/>
          <w:bCs/>
          <w:sz w:val="26"/>
          <w:szCs w:val="26"/>
        </w:rPr>
        <w:t xml:space="preserve">4.1 Unified Legislative Analysis Platform</w:t>
      </w:r>
    </w:p>
    <w:p>
      <w:pPr>
        <w:spacing w:after="140"/>
      </w:pPr>
      <w:r>
        <w:rPr>
          <w:rFonts w:ascii="Arial" w:cs="Arial" w:eastAsia="Arial" w:hAnsi="Arial"/>
          <w:b/>
          <w:bCs/>
          <w:color w:val="1E7B34"/>
        </w:rPr>
        <w:t xml:space="preserve">Status: COVERED</w:t>
      </w:r>
    </w:p>
    <w:p>
      <w:pPr>
        <w:spacing w:after="160"/>
      </w:pPr>
      <w:r>
        <w:rPr>
          <w:rFonts w:ascii="Arial" w:cs="Arial" w:eastAsia="Arial" w:hAnsi="Arial"/>
        </w:rPr>
        <w:t xml:space="preserve">Both backlogs establish a single, cross-division work structure supporting the full lifecycle of fiscal notes, bill descriptions, and policy analysis for both RFA and L&amp;P. Collaboration, task linkage, and package relationships are represented as core structural elements rather than division-specific add-ons.</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US-1.1.1 — multiple subject matter experts collaborate on topics, documents, tasks, and assignments in a single reference location.</w:t>
      </w:r>
    </w:p>
    <w:p>
      <w:pPr>
        <w:pStyle w:val="ListParagraph"/>
        <w:numPr>
          <w:ilvl w:val="0"/>
          <w:numId w:val="1"/>
        </w:numPr>
        <w:spacing w:after="100"/>
      </w:pPr>
      <w:r>
        <w:rPr>
          <w:rFonts w:ascii="Arial" w:cs="Arial" w:eastAsia="Arial" w:hAnsi="Arial"/>
        </w:rPr>
        <w:t xml:space="preserve">US-2.2.1 — related data, tasks, products, assignments, and documents are linked by topic, document type, legislative identifier, and package.</w:t>
      </w:r>
    </w:p>
    <w:p>
      <w:pPr>
        <w:pStyle w:val="ListParagraph"/>
        <w:numPr>
          <w:ilvl w:val="0"/>
          <w:numId w:val="1"/>
        </w:numPr>
        <w:spacing w:after="100"/>
      </w:pPr>
      <w:r>
        <w:rPr>
          <w:rFonts w:ascii="Arial" w:cs="Arial" w:eastAsia="Arial" w:hAnsi="Arial"/>
        </w:rPr>
        <w:t xml:space="preserve">US-2.2.2 — multiple work products can be combined into one deliverable package with trackable status.</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Agile Backlog User Stories.xlsx — Epics 1 and 2.</w:t>
      </w:r>
    </w:p>
    <w:p>
      <w:pPr>
        <w:spacing w:after="80" w:before="320"/>
      </w:pPr>
      <w:r>
        <w:rPr>
          <w:rFonts w:ascii="Arial" w:cs="Arial" w:eastAsia="Arial" w:hAnsi="Arial"/>
          <w:b/>
          <w:bCs/>
          <w:sz w:val="26"/>
          <w:szCs w:val="26"/>
        </w:rPr>
        <w:t xml:space="preserve">4.2 Automated Legislative Data Handling</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Ingestion of bills, versions, and amendments from named external legislative sources is represented, and version comparison is included as a story. However, the definition of "real time" is explicitly left open, and automated task creation and notification tied specifically to new versions, amendments, and deadlines is only generally represented rather than defined with a trigger catalog.</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US-5.1.1 — external bill language changes are detected and brought into the solution; the story's own acceptance criteria defer the definition of real time.</w:t>
      </w:r>
    </w:p>
    <w:p>
      <w:pPr>
        <w:pStyle w:val="ListParagraph"/>
        <w:numPr>
          <w:ilvl w:val="0"/>
          <w:numId w:val="1"/>
        </w:numPr>
        <w:spacing w:after="100"/>
      </w:pPr>
      <w:r>
        <w:rPr>
          <w:rFonts w:ascii="Arial" w:cs="Arial" w:eastAsia="Arial" w:hAnsi="Arial"/>
        </w:rPr>
        <w:t xml:space="preserve">US-5.1.3 — proposed and unadopted amendments are imported from leg.wa.gov, the Electronic Bill Book, and the Legislative Service Center API.</w:t>
      </w:r>
    </w:p>
    <w:p>
      <w:pPr>
        <w:pStyle w:val="ListParagraph"/>
        <w:numPr>
          <w:ilvl w:val="0"/>
          <w:numId w:val="1"/>
        </w:numPr>
        <w:spacing w:after="100"/>
      </w:pPr>
      <w:r>
        <w:rPr>
          <w:rFonts w:ascii="Arial" w:cs="Arial" w:eastAsia="Arial" w:hAnsi="Arial"/>
        </w:rPr>
        <w:t xml:space="preserve">US-5.2.3 — draft bills can be compared with prior versions, including prior-session versions, but the comparison presentation method (redline, side-by-side, semantic) is an open question.</w:t>
      </w:r>
    </w:p>
    <w:p>
      <w:pPr>
        <w:pStyle w:val="ListParagraph"/>
        <w:numPr>
          <w:ilvl w:val="0"/>
          <w:numId w:val="1"/>
        </w:numPr>
        <w:spacing w:after="100"/>
      </w:pPr>
      <w:r>
        <w:rPr>
          <w:rFonts w:ascii="Arial" w:cs="Arial" w:eastAsia="Arial" w:hAnsi="Arial"/>
        </w:rPr>
        <w:t xml:space="preserve">US-1.2.1 — notifications are generated on designated criteria, but notification channels, the trigger catalog, and escalation rules are recorded as an open question.</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Agile Backlog User Stories.xlsx — Epic 5 (Legislative Data, Bill Lifecycle, and Version Management).</w:t>
      </w:r>
    </w:p>
    <w:p>
      <w:pPr>
        <w:spacing w:after="80" w:before="320"/>
      </w:pPr>
      <w:r>
        <w:rPr>
          <w:rFonts w:ascii="Arial" w:cs="Arial" w:eastAsia="Arial" w:hAnsi="Arial"/>
          <w:b/>
          <w:bCs/>
          <w:sz w:val="26"/>
          <w:szCs w:val="26"/>
        </w:rPr>
        <w:t xml:space="preserve">4.3 Structured Analysis Production</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Standardized templates, structured rich-text and limited editors, and document generation from system data are represented for both RFA and L&amp;P work products. Mandatory export formats and OFM-specific compliance requirements are not defined in either backlog.</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US-4.1.1 through US-4.1.4 — rich-text and limited editors with spell check for designated work products across DOR, RFA, and L&amp;P.</w:t>
      </w:r>
    </w:p>
    <w:p>
      <w:pPr>
        <w:pStyle w:val="ListParagraph"/>
        <w:numPr>
          <w:ilvl w:val="0"/>
          <w:numId w:val="1"/>
        </w:numPr>
        <w:spacing w:after="100"/>
      </w:pPr>
      <w:r>
        <w:rPr>
          <w:rFonts w:ascii="Arial" w:cs="Arial" w:eastAsia="Arial" w:hAnsi="Arial"/>
        </w:rPr>
        <w:t xml:space="preserve">US-4.3.1 through US-4.3.4 — customized, auto-populated, and shareable templates and generated documentation.</w:t>
      </w:r>
    </w:p>
    <w:p>
      <w:pPr>
        <w:pStyle w:val="ListParagraph"/>
        <w:numPr>
          <w:ilvl w:val="0"/>
          <w:numId w:val="1"/>
        </w:numPr>
        <w:spacing w:after="100"/>
      </w:pPr>
      <w:r>
        <w:rPr>
          <w:rFonts w:ascii="Arial" w:cs="Arial" w:eastAsia="Arial" w:hAnsi="Arial"/>
        </w:rPr>
        <w:t xml:space="preserve">US-6.2.4 — work products can be extracted in required forms, but the story's own open question asks what exact export formats are mandatory; XML, Word, and PDF formats compliant with OFM requirements are not named in the business backlog.</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Agile Backlog User Stories.xlsx — Epics 4 and 6.</w:t>
      </w:r>
    </w:p>
    <w:p>
      <w:pPr>
        <w:spacing w:after="80" w:before="320"/>
      </w:pPr>
      <w:r>
        <w:rPr>
          <w:rFonts w:ascii="Arial" w:cs="Arial" w:eastAsia="Arial" w:hAnsi="Arial"/>
          <w:b/>
          <w:bCs/>
          <w:sz w:val="26"/>
          <w:szCs w:val="26"/>
        </w:rPr>
        <w:t xml:space="preserve">4.4 Role-Based Workflows and Dashboards</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The workflow mechanics for separated work and approval responsibilities, multi-reviewer routing, and personal work queues are represented. However, no consolidated catalog exists mapping the solicitation's named actors — analysts, reviewers, assigners, managers, and leadership — to specific permissions, and role-specific dashboards beyond the individual work queue are not specified.</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US-3.1.1 — tasks follow a defined workflow separating work and approval responsibilities.</w:t>
      </w:r>
    </w:p>
    <w:p>
      <w:pPr>
        <w:pStyle w:val="ListParagraph"/>
        <w:numPr>
          <w:ilvl w:val="0"/>
          <w:numId w:val="1"/>
        </w:numPr>
        <w:spacing w:after="100"/>
      </w:pPr>
      <w:r>
        <w:rPr>
          <w:rFonts w:ascii="Arial" w:cs="Arial" w:eastAsia="Arial" w:hAnsi="Arial"/>
        </w:rPr>
        <w:t xml:space="preserve">US-3.1.2 — completed products are routed through multiple subject matter experts for review.</w:t>
      </w:r>
    </w:p>
    <w:p>
      <w:pPr>
        <w:pStyle w:val="ListParagraph"/>
        <w:numPr>
          <w:ilvl w:val="0"/>
          <w:numId w:val="1"/>
        </w:numPr>
        <w:spacing w:after="100"/>
      </w:pPr>
      <w:r>
        <w:rPr>
          <w:rFonts w:ascii="Arial" w:cs="Arial" w:eastAsia="Arial" w:hAnsi="Arial"/>
        </w:rPr>
        <w:t xml:space="preserve">US-1.3.5 — a work queue shows status, priority, rework, and volume for work assigned to a user.</w:t>
      </w:r>
    </w:p>
    <w:p>
      <w:pPr>
        <w:pStyle w:val="ListParagraph"/>
        <w:numPr>
          <w:ilvl w:val="0"/>
          <w:numId w:val="1"/>
        </w:numPr>
        <w:spacing w:after="100"/>
      </w:pPr>
      <w:r>
        <w:rPr>
          <w:rFonts w:ascii="Arial" w:cs="Arial" w:eastAsia="Arial" w:hAnsi="Arial"/>
        </w:rPr>
        <w:t xml:space="preserve">US-9.1.1 — permissions distinguish preparation, approval, and delivery activity, but the story's own open question asks for the authoritative role and permission matrix.</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Agile Backlog User Stories.xlsx — Epics 1, 3, and 9.</w:t>
      </w:r>
    </w:p>
    <w:p>
      <w:pPr>
        <w:spacing w:after="80" w:before="320"/>
      </w:pPr>
      <w:r>
        <w:rPr>
          <w:rFonts w:ascii="Arial" w:cs="Arial" w:eastAsia="Arial" w:hAnsi="Arial"/>
          <w:b/>
          <w:bCs/>
          <w:sz w:val="26"/>
          <w:szCs w:val="26"/>
        </w:rPr>
        <w:t xml:space="preserve">4.5 Governance, Auditability, and Access Controls</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Security event auditing is strongly specified on the technical side, covering authentication, authorization failures, and changes to sensitive data. What is not defined in either backlog is the underlying sensitivity and privilege classification model needed to distinguish internal notes, drafts, and privileged analysis from releasable work product.</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TS-10.4 — authentication events, authorization failures, and changes to Category 3+ data are captured in audit logs consistent with SEC-08 expectations.</w:t>
      </w:r>
    </w:p>
    <w:p>
      <w:pPr>
        <w:pStyle w:val="ListParagraph"/>
        <w:numPr>
          <w:ilvl w:val="0"/>
          <w:numId w:val="1"/>
        </w:numPr>
        <w:spacing w:after="100"/>
      </w:pPr>
      <w:r>
        <w:rPr>
          <w:rFonts w:ascii="Arial" w:cs="Arial" w:eastAsia="Arial" w:hAnsi="Arial"/>
        </w:rPr>
        <w:t xml:space="preserve">US-9.1.2 — access can be restricted within a work task or product by data type or user type, but the required level of granularity (field, section, document, attachment, or comment) is an open question.</w:t>
      </w:r>
    </w:p>
    <w:p>
      <w:pPr>
        <w:pStyle w:val="ListParagraph"/>
        <w:numPr>
          <w:ilvl w:val="0"/>
          <w:numId w:val="1"/>
        </w:numPr>
        <w:spacing w:after="100"/>
      </w:pPr>
      <w:r>
        <w:rPr>
          <w:rFonts w:ascii="Arial" w:cs="Arial" w:eastAsia="Arial" w:hAnsi="Arial"/>
        </w:rPr>
        <w:t xml:space="preserve">US-2.3.1 — "Confidential" exists only as a filter/categorization tag, not as part of a defined sensitivity classification policy.</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Technical Agile Backlog User Stories.xlsx — Epic 10; DOR Agile Backlog User Stories.xlsx — Epics 2 and 9.</w:t>
      </w:r>
    </w:p>
    <w:p>
      <w:pPr>
        <w:spacing w:after="80" w:before="320"/>
      </w:pPr>
      <w:r>
        <w:rPr>
          <w:rFonts w:ascii="Arial" w:cs="Arial" w:eastAsia="Arial" w:hAnsi="Arial"/>
          <w:b/>
          <w:bCs/>
          <w:sz w:val="26"/>
          <w:szCs w:val="26"/>
        </w:rPr>
        <w:t xml:space="preserve">4.6 Integration with External Systems</w:t>
      </w:r>
    </w:p>
    <w:p>
      <w:pPr>
        <w:spacing w:after="140"/>
      </w:pPr>
      <w:r>
        <w:rPr>
          <w:rFonts w:ascii="Arial" w:cs="Arial" w:eastAsia="Arial" w:hAnsi="Arial"/>
          <w:b/>
          <w:bCs/>
          <w:color w:val="B00020"/>
        </w:rPr>
        <w:t xml:space="preserve">Status: GAP</w:t>
      </w:r>
    </w:p>
    <w:p>
      <w:pPr>
        <w:spacing w:after="160"/>
      </w:pPr>
      <w:r>
        <w:rPr>
          <w:rFonts w:ascii="Arial" w:cs="Arial" w:eastAsia="Arial" w:hAnsi="Arial"/>
        </w:rPr>
        <w:t xml:space="preserve">This is the most significant gap identified in either backlog. The RFP's named external systems — OFM's Fiscal Note System (FNS), OFM's Bill Enrollment and Agency Request System (BEARS), and APIS — do not appear by name in either the business or technical backlog. The technical backlog's integration epic is architecturally sound but explicitly depends on an inventory document that the source material states does not yet exist.</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TS-6.3 — LTS must integrate with all systems in the System Integration Inventory, but the story's own open question states the inventory is explicitly described as "not yet created" and must be supplied before the story can be fully refined.</w:t>
      </w:r>
    </w:p>
    <w:p>
      <w:pPr>
        <w:pStyle w:val="ListParagraph"/>
        <w:numPr>
          <w:ilvl w:val="0"/>
          <w:numId w:val="1"/>
        </w:numPr>
        <w:spacing w:after="100"/>
      </w:pPr>
      <w:r>
        <w:rPr>
          <w:rFonts w:ascii="Arial" w:cs="Arial" w:eastAsia="Arial" w:hAnsi="Arial"/>
        </w:rPr>
        <w:t xml:space="preserve">TS-6.1, TS-6.4 — general API integration standards (REST, OAuth 2.0, documentation, versioning) are defined, but without named target systems these remain framework-level rather than delivery-ready requirements.</w:t>
      </w:r>
    </w:p>
    <w:p>
      <w:pPr>
        <w:pStyle w:val="ListParagraph"/>
        <w:numPr>
          <w:ilvl w:val="0"/>
          <w:numId w:val="1"/>
        </w:numPr>
        <w:spacing w:after="100"/>
      </w:pPr>
      <w:r>
        <w:rPr>
          <w:rFonts w:ascii="Arial" w:cs="Arial" w:eastAsia="Arial" w:hAnsi="Arial"/>
        </w:rPr>
        <w:t xml:space="preserve">A text search of both backlogs for "BEARS," "FNS," "APIS," and "LSC" (as a named system rather than incidental text) returned no matching requirement or acceptance criterion referencing these specific systems.</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Technical Agile Backlog User Stories.xlsx — Epic 6 (Integration and Interoperability).</w:t>
      </w:r>
    </w:p>
    <w:p>
      <w:pPr>
        <w:spacing w:after="80" w:before="320"/>
      </w:pPr>
      <w:r>
        <w:rPr>
          <w:rFonts w:ascii="Arial" w:cs="Arial" w:eastAsia="Arial" w:hAnsi="Arial"/>
          <w:b/>
          <w:bCs/>
          <w:sz w:val="26"/>
          <w:szCs w:val="26"/>
        </w:rPr>
        <w:t xml:space="preserve">4.7 Reporting and Decision Support Tools</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Enterprise search, predetermined and custom reporting, and data extraction are represented. Queue-level and workload-level reporting is implied through the individual work queue story rather than defined as its own reporting capability, and no story addresses resource-planning or executive decision-support analytics directly.</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US-6.1.1 — robust search across tasks, documents, and bills, respecting security restrictions.</w:t>
      </w:r>
    </w:p>
    <w:p>
      <w:pPr>
        <w:pStyle w:val="ListParagraph"/>
        <w:numPr>
          <w:ilvl w:val="0"/>
          <w:numId w:val="1"/>
        </w:numPr>
        <w:spacing w:after="100"/>
      </w:pPr>
      <w:r>
        <w:rPr>
          <w:rFonts w:ascii="Arial" w:cs="Arial" w:eastAsia="Arial" w:hAnsi="Arial"/>
        </w:rPr>
        <w:t xml:space="preserve">US-6.2.1 — predetermined reports for performance measures and outstanding fiscal tasks, though the story's open question asks which predefined reports must be delivered at go-live.</w:t>
      </w:r>
    </w:p>
    <w:p>
      <w:pPr>
        <w:pStyle w:val="ListParagraph"/>
        <w:numPr>
          <w:ilvl w:val="0"/>
          <w:numId w:val="1"/>
        </w:numPr>
        <w:spacing w:after="100"/>
      </w:pPr>
      <w:r>
        <w:rPr>
          <w:rFonts w:ascii="Arial" w:cs="Arial" w:eastAsia="Arial" w:hAnsi="Arial"/>
        </w:rPr>
        <w:t xml:space="preserve">US-6.2.2 — authorized users can create and save custom queries and reports.</w:t>
      </w:r>
    </w:p>
    <w:p>
      <w:pPr>
        <w:pStyle w:val="ListParagraph"/>
        <w:numPr>
          <w:ilvl w:val="0"/>
          <w:numId w:val="1"/>
        </w:numPr>
        <w:spacing w:after="100"/>
      </w:pPr>
      <w:r>
        <w:rPr>
          <w:rFonts w:ascii="Arial" w:cs="Arial" w:eastAsia="Arial" w:hAnsi="Arial"/>
        </w:rPr>
        <w:t xml:space="preserve">No story in either backlog is titled or scoped specifically as queue-level, bill-level, or workload-level executive reporting.</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Agile Backlog User Stories.xlsx — Epic 6 (Search, Reporting, and Decision Support).</w:t>
      </w:r>
    </w:p>
    <w:p>
      <w:pPr>
        <w:spacing w:after="80" w:before="320"/>
      </w:pPr>
      <w:r>
        <w:rPr>
          <w:rFonts w:ascii="Arial" w:cs="Arial" w:eastAsia="Arial" w:hAnsi="Arial"/>
          <w:b/>
          <w:bCs/>
          <w:sz w:val="26"/>
          <w:szCs w:val="26"/>
        </w:rPr>
        <w:t xml:space="preserve">4.8 Session-Ready Operations</w:t>
      </w:r>
    </w:p>
    <w:p>
      <w:pPr>
        <w:spacing w:after="140"/>
      </w:pPr>
      <w:r>
        <w:rPr>
          <w:rFonts w:ascii="Arial" w:cs="Arial" w:eastAsia="Arial" w:hAnsi="Arial"/>
          <w:b/>
          <w:bCs/>
          <w:color w:val="B36B00"/>
        </w:rPr>
        <w:t xml:space="preserve">Status: PARTIALLY COVERED</w:t>
      </w:r>
    </w:p>
    <w:p>
      <w:pPr>
        <w:spacing w:after="160"/>
      </w:pPr>
      <w:r>
        <w:rPr>
          <w:rFonts w:ascii="Arial" w:cs="Arial" w:eastAsia="Arial" w:hAnsi="Arial"/>
        </w:rPr>
        <w:t xml:space="preserve">Concurrency, uptime, and burst-capacity requirements are strongly specified on the technical side with measurable targets. The RFP's statutory turnaround deadlines are not represented as workflow requirements in either backlog.</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US-9.2.1 — more than 60 concurrent users without degradation, though the measurable performance threshold is an open question.</w:t>
      </w:r>
    </w:p>
    <w:p>
      <w:pPr>
        <w:pStyle w:val="ListParagraph"/>
        <w:numPr>
          <w:ilvl w:val="0"/>
          <w:numId w:val="1"/>
        </w:numPr>
        <w:spacing w:after="100"/>
      </w:pPr>
      <w:r>
        <w:rPr>
          <w:rFonts w:ascii="Arial" w:cs="Arial" w:eastAsia="Arial" w:hAnsi="Arial"/>
        </w:rPr>
        <w:t xml:space="preserve">TS-11.3 — no single point of failure within at least one hosting region; TS-11.8 — at least 50 sustained transactions per second; TS-11.9 — the system absorbs 3x burst load for at least 5 minutes without error.</w:t>
      </w:r>
    </w:p>
    <w:p>
      <w:pPr>
        <w:pStyle w:val="ListParagraph"/>
        <w:numPr>
          <w:ilvl w:val="0"/>
          <w:numId w:val="1"/>
        </w:numPr>
        <w:spacing w:after="100"/>
      </w:pPr>
      <w:r>
        <w:rPr>
          <w:rFonts w:ascii="Arial" w:cs="Arial" w:eastAsia="Arial" w:hAnsi="Arial"/>
        </w:rPr>
        <w:t xml:space="preserve">TS-11.4 — service availability of at least 99.9%.</w:t>
      </w:r>
    </w:p>
    <w:p>
      <w:pPr>
        <w:pStyle w:val="ListParagraph"/>
        <w:numPr>
          <w:ilvl w:val="0"/>
          <w:numId w:val="1"/>
        </w:numPr>
        <w:spacing w:after="100"/>
      </w:pPr>
      <w:r>
        <w:rPr>
          <w:rFonts w:ascii="Arial" w:cs="Arial" w:eastAsia="Arial" w:hAnsi="Arial"/>
        </w:rPr>
        <w:t xml:space="preserve">A text search of both backlogs for "48-hour," "48 hour," "72-hour," and "72 hour" returned no matching requirement or acceptance criterion. The statutory bill description and fiscal note submission deadlines, and the rapid-turnaround requirement for near-term hearings, are not represented as business rules or workflow SLAs in either file.</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Technical Agile Backlog User Stories.xlsx — Epic 11 (Performance, Scalability, Capacity, and Resilience); DOR Agile Backlog User Stories.xlsx — Epic 9.</w:t>
      </w:r>
    </w:p>
    <w:p>
      <w:pPr>
        <w:spacing w:after="80" w:before="320"/>
      </w:pPr>
      <w:r>
        <w:rPr>
          <w:rFonts w:ascii="Arial" w:cs="Arial" w:eastAsia="Arial" w:hAnsi="Arial"/>
          <w:b/>
          <w:bCs/>
          <w:sz w:val="26"/>
          <w:szCs w:val="26"/>
        </w:rPr>
        <w:t xml:space="preserve">4.9 Non-Functional Requirements</w:t>
      </w:r>
    </w:p>
    <w:p>
      <w:pPr>
        <w:spacing w:after="140"/>
      </w:pPr>
      <w:r>
        <w:rPr>
          <w:rFonts w:ascii="Arial" w:cs="Arial" w:eastAsia="Arial" w:hAnsi="Arial"/>
          <w:b/>
          <w:bCs/>
          <w:color w:val="1E7B34"/>
        </w:rPr>
        <w:t xml:space="preserve">Status: COVERED</w:t>
      </w:r>
    </w:p>
    <w:p>
      <w:pPr>
        <w:spacing w:after="160"/>
      </w:pPr>
      <w:r>
        <w:rPr>
          <w:rFonts w:ascii="Arial" w:cs="Arial" w:eastAsia="Arial" w:hAnsi="Arial"/>
        </w:rPr>
        <w:t xml:space="preserve">Security, accessibility, disaster recovery, and monitoring requirements are specified with measurable, testable targets in the technical backlog. Autosave is the one item recorded only as an open question rather than a committed requirement.</w:t>
      </w:r>
    </w:p>
    <w:p>
      <w:pPr>
        <w:spacing w:after="80" w:before="80"/>
      </w:pPr>
      <w:r>
        <w:rPr>
          <w:rFonts w:ascii="Arial" w:cs="Arial" w:eastAsia="Arial" w:hAnsi="Arial"/>
          <w:b/>
          <w:bCs/>
        </w:rPr>
        <w:t xml:space="preserve">Supporting Evidence:</w:t>
      </w:r>
    </w:p>
    <w:p>
      <w:pPr>
        <w:pStyle w:val="ListParagraph"/>
        <w:numPr>
          <w:ilvl w:val="0"/>
          <w:numId w:val="1"/>
        </w:numPr>
        <w:spacing w:after="100"/>
      </w:pPr>
      <w:r>
        <w:rPr>
          <w:rFonts w:ascii="Arial" w:cs="Arial" w:eastAsia="Arial" w:hAnsi="Arial"/>
        </w:rPr>
        <w:t xml:space="preserve">TR-302 — data encrypted in transit (TLS 1.2+) and at rest (AES-256 or NIST-validated equivalent).</w:t>
      </w:r>
    </w:p>
    <w:p>
      <w:pPr>
        <w:pStyle w:val="ListParagraph"/>
        <w:numPr>
          <w:ilvl w:val="0"/>
          <w:numId w:val="1"/>
        </w:numPr>
        <w:spacing w:after="100"/>
      </w:pPr>
      <w:r>
        <w:rPr>
          <w:rFonts w:ascii="Arial" w:cs="Arial" w:eastAsia="Arial" w:hAnsi="Arial"/>
        </w:rPr>
        <w:t xml:space="preserve">TR-501 — WCAG 2.2 Level AA conformance; TR-502 — a current ACR/VPAT delivered before go-live.</w:t>
      </w:r>
    </w:p>
    <w:p>
      <w:pPr>
        <w:pStyle w:val="ListParagraph"/>
        <w:numPr>
          <w:ilvl w:val="0"/>
          <w:numId w:val="1"/>
        </w:numPr>
        <w:spacing w:after="100"/>
      </w:pPr>
      <w:r>
        <w:rPr>
          <w:rFonts w:ascii="Arial" w:cs="Arial" w:eastAsia="Arial" w:hAnsi="Arial"/>
        </w:rPr>
        <w:t xml:space="preserve">TR-403 — automated backups with a recovery point objective of no more than 4 hours and a recovery time objective of no more than 24 hours.</w:t>
      </w:r>
    </w:p>
    <w:p>
      <w:pPr>
        <w:pStyle w:val="ListParagraph"/>
        <w:numPr>
          <w:ilvl w:val="0"/>
          <w:numId w:val="1"/>
        </w:numPr>
        <w:spacing w:after="100"/>
      </w:pPr>
      <w:r>
        <w:rPr>
          <w:rFonts w:ascii="Arial" w:cs="Arial" w:eastAsia="Arial" w:hAnsi="Arial"/>
        </w:rPr>
        <w:t xml:space="preserve">US-4.2.2 — saving incomplete work is represented, but whether autosave is required in addition to explicit save is recorded as an open question.</w:t>
      </w:r>
    </w:p>
    <w:p>
      <w:pPr>
        <w:spacing w:after="100" w:before="60"/>
      </w:pPr>
      <w:r>
        <w:rPr>
          <w:rFonts w:ascii="Arial" w:cs="Arial" w:eastAsia="Arial" w:hAnsi="Arial"/>
          <w:b/>
          <w:bCs/>
          <w:i/>
          <w:iCs/>
          <w:sz w:val="20"/>
          <w:szCs w:val="20"/>
        </w:rPr>
        <w:t xml:space="preserve">Source: </w:t>
      </w:r>
      <w:r>
        <w:rPr>
          <w:rFonts w:ascii="Arial" w:cs="Arial" w:eastAsia="Arial" w:hAnsi="Arial"/>
          <w:i/>
          <w:iCs/>
          <w:color w:val="555555"/>
          <w:sz w:val="20"/>
          <w:szCs w:val="20"/>
        </w:rPr>
        <w:t xml:space="preserve">DOR Technical Agile Backlog User Stories.xlsx — Epics 3, 4, 5.</w:t>
      </w:r>
    </w:p>
    <w:p>
      <w:r>
        <w:br w:type="page"/>
      </w:r>
    </w:p>
    <w:p>
      <w:pPr>
        <w:pStyle w:val="Heading1"/>
        <w:spacing w:after="180" w:before="360"/>
        <w:rPr>
          <w:rFonts w:ascii="Arial" w:cs="Arial" w:eastAsia="Arial" w:hAnsi="Arial"/>
        </w:rPr>
      </w:pPr>
      <w:r>
        <w:t xml:space="preserve">5. Role-Based Access — Focused Review</w:t>
      </w:r>
    </w:p>
    <w:p>
      <w:pPr>
        <w:spacing w:after="160"/>
      </w:pPr>
      <w:r>
        <w:rPr>
          <w:rFonts w:ascii="Arial" w:cs="Arial" w:eastAsia="Arial" w:hAnsi="Arial"/>
        </w:rPr>
        <w:t xml:space="preserve">Role-based access was called out specifically for review. The mechanism for role-based access is well specified in both backlogs; the content required to operate that mechanism is not yet defined in either file.</w:t>
      </w:r>
    </w:p>
    <w:p>
      <w:pPr>
        <w:pStyle w:val="Heading2"/>
        <w:spacing w:after="140" w:before="280"/>
      </w:pPr>
      <w:r>
        <w:t xml:space="preserve">What is defined</w:t>
      </w:r>
    </w:p>
    <w:p>
      <w:pPr>
        <w:pStyle w:val="ListParagraph"/>
        <w:numPr>
          <w:ilvl w:val="0"/>
          <w:numId w:val="1"/>
        </w:numPr>
        <w:spacing w:after="100"/>
      </w:pPr>
      <w:r>
        <w:rPr>
          <w:rFonts w:ascii="Arial" w:cs="Arial" w:eastAsia="Arial" w:hAnsi="Arial"/>
        </w:rPr>
        <w:t xml:space="preserve">US-9.1.1 — permissions distinguish preparation, approval, and delivery activity, and read-only access to final products can be provided.</w:t>
      </w:r>
    </w:p>
    <w:p>
      <w:pPr>
        <w:pStyle w:val="ListParagraph"/>
        <w:numPr>
          <w:ilvl w:val="0"/>
          <w:numId w:val="1"/>
        </w:numPr>
        <w:spacing w:after="100"/>
      </w:pPr>
      <w:r>
        <w:rPr>
          <w:rFonts w:ascii="Arial" w:cs="Arial" w:eastAsia="Arial" w:hAnsi="Arial"/>
        </w:rPr>
        <w:t xml:space="preserve">US-9.1.2 — access can be restricted within a work task or product by data type or user type.</w:t>
      </w:r>
    </w:p>
    <w:p>
      <w:pPr>
        <w:pStyle w:val="ListParagraph"/>
        <w:numPr>
          <w:ilvl w:val="0"/>
          <w:numId w:val="1"/>
        </w:numPr>
        <w:spacing w:after="100"/>
      </w:pPr>
      <w:r>
        <w:rPr>
          <w:rFonts w:ascii="Arial" w:cs="Arial" w:eastAsia="Arial" w:hAnsi="Arial"/>
        </w:rPr>
        <w:t xml:space="preserve">TS-3.5 — least-privilege role-based access control is implemented and applies to all application-level roles.</w:t>
      </w:r>
    </w:p>
    <w:p>
      <w:pPr>
        <w:pStyle w:val="ListParagraph"/>
        <w:numPr>
          <w:ilvl w:val="0"/>
          <w:numId w:val="1"/>
        </w:numPr>
        <w:spacing w:after="100"/>
      </w:pPr>
      <w:r>
        <w:rPr>
          <w:rFonts w:ascii="Arial" w:cs="Arial" w:eastAsia="Arial" w:hAnsi="Arial"/>
        </w:rPr>
        <w:t xml:space="preserve">TS-3.8 — role and permission provisioning is automated and behaves identically across all environments, correcting a named incumbent-system inconsistency.</w:t>
      </w:r>
    </w:p>
    <w:p>
      <w:pPr>
        <w:pStyle w:val="Heading2"/>
        <w:spacing w:after="140" w:before="280"/>
      </w:pPr>
      <w:r>
        <w:t xml:space="preserve">What is not yet defined</w:t>
      </w:r>
    </w:p>
    <w:p>
      <w:pPr>
        <w:pStyle w:val="ListParagraph"/>
        <w:numPr>
          <w:ilvl w:val="0"/>
          <w:numId w:val="1"/>
        </w:numPr>
        <w:spacing w:after="100"/>
      </w:pPr>
      <w:r>
        <w:rPr>
          <w:rFonts w:ascii="Arial" w:cs="Arial" w:eastAsia="Arial" w:hAnsi="Arial"/>
        </w:rPr>
        <w:t xml:space="preserve">US-9.1.1's own open question: "What is the authoritative role and permission matrix?"</w:t>
      </w:r>
    </w:p>
    <w:p>
      <w:pPr>
        <w:pStyle w:val="ListParagraph"/>
        <w:numPr>
          <w:ilvl w:val="0"/>
          <w:numId w:val="1"/>
        </w:numPr>
        <w:spacing w:after="100"/>
      </w:pPr>
      <w:r>
        <w:rPr>
          <w:rFonts w:ascii="Arial" w:cs="Arial" w:eastAsia="Arial" w:hAnsi="Arial"/>
        </w:rPr>
        <w:t xml:space="preserve">US-9.1.2's own open question: "What level of granularity is required: field, section, document, attachment, comment, or another level?"</w:t>
      </w:r>
    </w:p>
    <w:p>
      <w:pPr>
        <w:pStyle w:val="ListParagraph"/>
        <w:numPr>
          <w:ilvl w:val="0"/>
          <w:numId w:val="1"/>
        </w:numPr>
        <w:spacing w:after="100"/>
      </w:pPr>
      <w:r>
        <w:rPr>
          <w:rFonts w:ascii="Arial" w:cs="Arial" w:eastAsia="Arial" w:hAnsi="Arial"/>
        </w:rPr>
        <w:t xml:space="preserve">No story in either backlog consolidates a role catalog. Named actors appear scattered across individual stories — DOR user, RFA user, L&amp;P user, Executive Division user, security administrator, Budget Office user, L&amp;P Manager, work coordinator — without a single mapping of roles to permitted actions and data sensitivity.</w:t>
      </w:r>
    </w:p>
    <w:p>
      <w:pPr>
        <w:pStyle w:val="ListParagraph"/>
        <w:numPr>
          <w:ilvl w:val="0"/>
          <w:numId w:val="1"/>
        </w:numPr>
        <w:spacing w:after="100"/>
      </w:pPr>
      <w:r>
        <w:rPr>
          <w:rFonts w:ascii="Arial" w:cs="Arial" w:eastAsia="Arial" w:hAnsi="Arial"/>
        </w:rPr>
        <w:t xml:space="preserve">The solicitation's specific role categories — analysts, reviewers, assigners, managers, and leadership — are not each explicitly represented as named roles with defined permissions; some map loosely to existing story roles, others do not appear at all (an "assigner" role, distinct from the "work coordinator" who assigns tasks, is not defined).</w:t>
      </w:r>
    </w:p>
    <w:p>
      <w:pPr>
        <w:spacing w:after="160"/>
      </w:pPr>
      <w:r>
        <w:rPr>
          <w:rFonts w:ascii="Arial" w:cs="Arial" w:eastAsia="Arial" w:hAnsi="Arial"/>
        </w:rPr>
        <w:t xml:space="preserve">This is a recurring gap rather than an isolated one: the same open question appears in both the business and technical backlog independently, which indicates the authoritative role and permission matrix is a genuine missing artifact rather than an oversight in either document alone.</w:t>
      </w:r>
    </w:p>
    <w:p>
      <w:r>
        <w:br w:type="page"/>
      </w:r>
    </w:p>
    <w:p>
      <w:pPr>
        <w:pStyle w:val="Heading1"/>
        <w:spacing w:after="180" w:before="360"/>
        <w:rPr>
          <w:rFonts w:ascii="Arial" w:cs="Arial" w:eastAsia="Arial" w:hAnsi="Arial"/>
        </w:rPr>
      </w:pPr>
      <w:r>
        <w:t xml:space="preserve">6. Priority Items to Resolve Before Estimating or Building</w:t>
      </w:r>
    </w:p>
    <w:p>
      <w:pPr>
        <w:spacing w:after="160"/>
      </w:pPr>
      <w:r>
        <w:rPr>
          <w:rFonts w:ascii="Arial" w:cs="Arial" w:eastAsia="Arial" w:hAnsi="Arial"/>
        </w:rPr>
        <w:t xml:space="preserve">The following five items are recommended as resolution priorities. Each is referenced by multiple independent stories across both backlogs, which indicates each is a genuine missing artifact rather than a single story's oversight.</w:t>
      </w:r>
    </w:p>
    <w:p>
      <w:pPr>
        <w:pStyle w:val="ListParagraph"/>
        <w:numPr>
          <w:ilvl w:val="0"/>
          <w:numId w:val="1"/>
        </w:numPr>
        <w:spacing w:after="100"/>
      </w:pPr>
      <w:r>
        <w:rPr>
          <w:rFonts w:ascii="Arial" w:cs="Arial" w:eastAsia="Arial" w:hAnsi="Arial"/>
        </w:rPr>
        <w:t xml:space="preserve">1. Authoritative role and permission matrix, mapping every solicitation-named actor to specific permitted actions and data sensitivity levels.</w:t>
      </w:r>
    </w:p>
    <w:p>
      <w:pPr>
        <w:pStyle w:val="ListParagraph"/>
        <w:numPr>
          <w:ilvl w:val="0"/>
          <w:numId w:val="1"/>
        </w:numPr>
        <w:spacing w:after="100"/>
      </w:pPr>
      <w:r>
        <w:rPr>
          <w:rFonts w:ascii="Arial" w:cs="Arial" w:eastAsia="Arial" w:hAnsi="Arial"/>
        </w:rPr>
        <w:t xml:space="preserve">2. System Integration Inventory naming OFM's Fiscal Note System (FNS), the Bill Enrollment and Agency Request System (BEARS), and APIS, together with the protocol and data contract for each.</w:t>
      </w:r>
    </w:p>
    <w:p>
      <w:pPr>
        <w:pStyle w:val="ListParagraph"/>
        <w:numPr>
          <w:ilvl w:val="0"/>
          <w:numId w:val="1"/>
        </w:numPr>
        <w:spacing w:after="100"/>
      </w:pPr>
      <w:r>
        <w:rPr>
          <w:rFonts w:ascii="Arial" w:cs="Arial" w:eastAsia="Arial" w:hAnsi="Arial"/>
        </w:rPr>
        <w:t xml:space="preserve">3. Statutory deadline rules — the 48-hour bill description window, the 72-hour fiscal note submission window, and rapid-turnaround handling for hearings scheduled within 72 hours — represented as workflow business rules, not only as system performance targets.</w:t>
      </w:r>
    </w:p>
    <w:p>
      <w:pPr>
        <w:pStyle w:val="ListParagraph"/>
        <w:numPr>
          <w:ilvl w:val="0"/>
          <w:numId w:val="1"/>
        </w:numPr>
        <w:spacing w:after="100"/>
      </w:pPr>
      <w:r>
        <w:rPr>
          <w:rFonts w:ascii="Arial" w:cs="Arial" w:eastAsia="Arial" w:hAnsi="Arial"/>
        </w:rPr>
        <w:t xml:space="preserve">4. Sensitivity and privilege classification model defining what constitutes internal, privileged, or restricted content, to support governance and visibility-restriction requirements beyond generic role-based access.</w:t>
      </w:r>
    </w:p>
    <w:p>
      <w:pPr>
        <w:pStyle w:val="ListParagraph"/>
        <w:numPr>
          <w:ilvl w:val="0"/>
          <w:numId w:val="1"/>
        </w:numPr>
        <w:spacing w:after="100"/>
      </w:pPr>
      <w:r>
        <w:rPr>
          <w:rFonts w:ascii="Arial" w:cs="Arial" w:eastAsia="Arial" w:hAnsi="Arial"/>
        </w:rPr>
        <w:t xml:space="preserve">5. Mandatory export formats and OFM compliance requirements for generated documentation (XML, Word, PDF).</w:t>
      </w:r>
    </w:p>
    <w:p>
      <w:pPr>
        <w:spacing w:after="160"/>
      </w:pPr>
      <w:r>
        <w:rPr>
          <w:rFonts w:ascii="Arial" w:cs="Arial" w:eastAsia="Arial" w:hAnsi="Arial"/>
        </w:rPr>
        <w:t xml:space="preserve">Resolving these five items before finalizing a delivery estimate will reduce the risk of scope growth during build, since each already appears as an explicit open question or absence across independent stories in both backlogs rather than as a matter of interpretation.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2026-08-09T19:48:16.277Z</dcterms:created>
  <dcterms:modified xsi:type="dcterms:W3CDTF">2026-08-09T19:48:16.296Z</dcterms:modified>
</cp:coreProperties>
</file>

<file path=docProps/custom.xml><?xml version="1.0" encoding="utf-8"?>
<Properties xmlns="http://schemas.openxmlformats.org/officeDocument/2006/custom-properties" xmlns:vt="http://schemas.openxmlformats.org/officeDocument/2006/docPropsVTypes"/>
</file>