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1637" w:rsidRDefault="00645877">
      <w:pPr>
        <w:pStyle w:val="Heading1"/>
        <w:pBdr>
          <w:bottom w:val="single" w:sz="6" w:space="4" w:color="1F3864"/>
        </w:pBdr>
      </w:pPr>
      <w:r>
        <w:rPr>
          <w:b/>
          <w:bCs/>
          <w:color w:val="1F3864"/>
          <w:sz w:val="30"/>
          <w:szCs w:val="30"/>
        </w:rPr>
        <w:t>1. Purpose, Scope &amp; How to Read This Document</w:t>
      </w:r>
    </w:p>
    <w:p w:rsidR="008F1637" w:rsidRDefault="00645877">
      <w:pPr>
        <w:spacing w:after="160" w:line="276" w:lineRule="auto"/>
      </w:pPr>
      <w:r w:rsidRPr="2F7C9A20">
        <w:rPr>
          <w:color w:val="000000"/>
        </w:rPr>
        <w:t>This document defines the technical requirements for the DOR Legislation Tracking System (LTS) intended. Business/functional requirements, cost proposal structure, and evaluation weighting are maintained separately.</w:t>
      </w:r>
      <w:r w:rsidR="002B7DFF">
        <w:rPr>
          <w:color w:val="000000"/>
        </w:rPr>
        <w:t xml:space="preserve">  These requirements will be evaluated as part of the Bidder’s </w:t>
      </w:r>
      <w:r w:rsidR="00FB2A3F">
        <w:rPr>
          <w:color w:val="000000"/>
        </w:rPr>
        <w:t>A</w:t>
      </w:r>
      <w:r w:rsidR="002B7DFF">
        <w:rPr>
          <w:color w:val="000000"/>
        </w:rPr>
        <w:t>rchitectur</w:t>
      </w:r>
      <w:r w:rsidR="00FB2A3F">
        <w:rPr>
          <w:color w:val="000000"/>
        </w:rPr>
        <w:t xml:space="preserve">e Design </w:t>
      </w:r>
      <w:r w:rsidR="002B7DFF">
        <w:rPr>
          <w:color w:val="000000"/>
        </w:rPr>
        <w:t>submission to this RFP (See appendix</w:t>
      </w:r>
      <w:r w:rsidR="00FB2A3F">
        <w:rPr>
          <w:color w:val="000000"/>
        </w:rPr>
        <w:t xml:space="preserve"> F)</w:t>
      </w:r>
      <w:r w:rsidR="002B7DFF">
        <w:rPr>
          <w:color w:val="000000"/>
        </w:rPr>
        <w:t xml:space="preserve">.  </w:t>
      </w:r>
    </w:p>
    <w:p w:rsidR="008F1637" w:rsidRDefault="00645877">
      <w:pPr>
        <w:pStyle w:val="Heading2"/>
      </w:pPr>
      <w:r>
        <w:rPr>
          <w:b/>
          <w:bCs/>
          <w:color w:val="1F3864"/>
          <w:sz w:val="24"/>
          <w:szCs w:val="24"/>
        </w:rPr>
        <w:t>1.1  Requirement Type Notation</w:t>
      </w:r>
    </w:p>
    <w:p w:rsidR="008F1637" w:rsidRDefault="00645877">
      <w:pPr>
        <w:spacing w:after="160" w:line="276" w:lineRule="auto"/>
      </w:pPr>
      <w:r>
        <w:rPr>
          <w:color w:val="000000"/>
        </w:rPr>
        <w:t xml:space="preserve">Requirements follow </w:t>
      </w:r>
      <w:r w:rsidR="00720FB4">
        <w:rPr>
          <w:color w:val="000000"/>
        </w:rPr>
        <w:t>a</w:t>
      </w:r>
      <w:r>
        <w:rPr>
          <w:color w:val="000000"/>
        </w:rPr>
        <w:t xml:space="preserve"> standard three-tier notation.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6660"/>
      </w:tblGrid>
      <w:tr w:rsidR="008F1637">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c>
          <w:tcPr>
            <w:tcW w:w="1800" w:type="dxa"/>
            <w:shd w:val="clear" w:color="auto" w:fill="1F3864"/>
            <w:tcMar>
              <w:top w:w="80" w:type="dxa"/>
              <w:left w:w="100" w:type="dxa"/>
              <w:bottom w:w="80" w:type="dxa"/>
              <w:right w:w="100" w:type="dxa"/>
            </w:tcMar>
            <w:vAlign w:val="center"/>
          </w:tcPr>
          <w:p w:rsidR="008F1637" w:rsidRDefault="00645877">
            <w:r>
              <w:rPr>
                <w:b/>
                <w:bCs/>
                <w:color w:val="FFFFFF"/>
                <w:sz w:val="19"/>
                <w:szCs w:val="19"/>
              </w:rPr>
              <w:t>Meaning</w:t>
            </w:r>
          </w:p>
        </w:tc>
        <w:tc>
          <w:tcPr>
            <w:tcW w:w="6660" w:type="dxa"/>
            <w:shd w:val="clear" w:color="auto" w:fill="1F3864"/>
            <w:tcMar>
              <w:top w:w="80" w:type="dxa"/>
              <w:left w:w="100" w:type="dxa"/>
              <w:bottom w:w="80" w:type="dxa"/>
              <w:right w:w="100" w:type="dxa"/>
            </w:tcMar>
            <w:vAlign w:val="center"/>
          </w:tcPr>
          <w:p w:rsidR="008F1637" w:rsidRDefault="00645877">
            <w:r>
              <w:rPr>
                <w:b/>
                <w:bCs/>
                <w:color w:val="FFFFFF"/>
                <w:sz w:val="19"/>
                <w:szCs w:val="19"/>
              </w:rPr>
              <w:t>Description</w:t>
            </w:r>
          </w:p>
        </w:tc>
      </w:tr>
      <w:tr w:rsidR="008F1637" w:rsidRPr="002B7DFF">
        <w:tc>
          <w:tcPr>
            <w:tcW w:w="900" w:type="dxa"/>
            <w:shd w:val="clear" w:color="auto" w:fill="FFFFFF"/>
            <w:tcMar>
              <w:top w:w="80" w:type="dxa"/>
              <w:left w:w="100" w:type="dxa"/>
              <w:bottom w:w="80" w:type="dxa"/>
              <w:right w:w="100" w:type="dxa"/>
            </w:tcMar>
            <w:vAlign w:val="center"/>
          </w:tcPr>
          <w:p w:rsidR="008F1637" w:rsidRPr="002B7DFF" w:rsidRDefault="00645877">
            <w:pPr>
              <w:jc w:val="center"/>
            </w:pPr>
            <w:r w:rsidRPr="002B7DFF">
              <w:rPr>
                <w:b/>
                <w:bCs/>
                <w:color w:val="000000"/>
                <w:sz w:val="19"/>
                <w:szCs w:val="19"/>
              </w:rPr>
              <w:t>M</w:t>
            </w:r>
          </w:p>
        </w:tc>
        <w:tc>
          <w:tcPr>
            <w:tcW w:w="1800" w:type="dxa"/>
            <w:shd w:val="clear" w:color="auto" w:fill="FFFFFF"/>
            <w:tcMar>
              <w:top w:w="80" w:type="dxa"/>
              <w:left w:w="100" w:type="dxa"/>
              <w:bottom w:w="80" w:type="dxa"/>
              <w:right w:w="100" w:type="dxa"/>
            </w:tcMar>
            <w:vAlign w:val="center"/>
          </w:tcPr>
          <w:p w:rsidR="008F1637" w:rsidRPr="002B7DFF" w:rsidRDefault="00645877">
            <w:r w:rsidRPr="002B7DFF">
              <w:rPr>
                <w:b/>
                <w:bCs/>
                <w:color w:val="000000"/>
                <w:sz w:val="19"/>
                <w:szCs w:val="19"/>
              </w:rPr>
              <w:t>Mandatory</w:t>
            </w:r>
          </w:p>
        </w:tc>
        <w:tc>
          <w:tcPr>
            <w:tcW w:w="6660" w:type="dxa"/>
            <w:shd w:val="clear" w:color="auto" w:fill="FFFFFF"/>
            <w:tcMar>
              <w:top w:w="80" w:type="dxa"/>
              <w:left w:w="100" w:type="dxa"/>
              <w:bottom w:w="80" w:type="dxa"/>
              <w:right w:w="100" w:type="dxa"/>
            </w:tcMar>
            <w:vAlign w:val="center"/>
          </w:tcPr>
          <w:p w:rsidR="008F1637" w:rsidRPr="002B7DFF" w:rsidRDefault="00645877">
            <w:r w:rsidRPr="002B7DFF">
              <w:rPr>
                <w:color w:val="000000"/>
                <w:sz w:val="19"/>
                <w:szCs w:val="19"/>
              </w:rPr>
              <w:t>A pass/fail requirement. A Response that does not meet an “M” requirement is subject to disqualification.</w:t>
            </w:r>
          </w:p>
        </w:tc>
      </w:tr>
      <w:tr w:rsidR="008F1637" w:rsidRPr="002B7DFF">
        <w:tc>
          <w:tcPr>
            <w:tcW w:w="900" w:type="dxa"/>
            <w:shd w:val="clear" w:color="auto" w:fill="F2F2F2"/>
            <w:tcMar>
              <w:top w:w="80" w:type="dxa"/>
              <w:left w:w="100" w:type="dxa"/>
              <w:bottom w:w="80" w:type="dxa"/>
              <w:right w:w="100" w:type="dxa"/>
            </w:tcMar>
            <w:vAlign w:val="center"/>
          </w:tcPr>
          <w:p w:rsidR="008F1637" w:rsidRPr="002B7DFF" w:rsidRDefault="00645877">
            <w:pPr>
              <w:jc w:val="center"/>
            </w:pPr>
            <w:r w:rsidRPr="002B7DFF">
              <w:rPr>
                <w:b/>
                <w:bCs/>
                <w:color w:val="000000"/>
                <w:sz w:val="19"/>
                <w:szCs w:val="19"/>
              </w:rPr>
              <w:t>MS</w:t>
            </w:r>
          </w:p>
        </w:tc>
        <w:tc>
          <w:tcPr>
            <w:tcW w:w="1800" w:type="dxa"/>
            <w:shd w:val="clear" w:color="auto" w:fill="F2F2F2"/>
            <w:tcMar>
              <w:top w:w="80" w:type="dxa"/>
              <w:left w:w="100" w:type="dxa"/>
              <w:bottom w:w="80" w:type="dxa"/>
              <w:right w:w="100" w:type="dxa"/>
            </w:tcMar>
            <w:vAlign w:val="center"/>
          </w:tcPr>
          <w:p w:rsidR="008F1637" w:rsidRPr="002B7DFF" w:rsidRDefault="00645877">
            <w:r w:rsidRPr="002B7DFF">
              <w:rPr>
                <w:b/>
                <w:bCs/>
                <w:color w:val="000000"/>
                <w:sz w:val="19"/>
                <w:szCs w:val="19"/>
              </w:rPr>
              <w:t>Mandatory Scored</w:t>
            </w:r>
          </w:p>
        </w:tc>
        <w:tc>
          <w:tcPr>
            <w:tcW w:w="6660" w:type="dxa"/>
            <w:shd w:val="clear" w:color="auto" w:fill="F2F2F2"/>
            <w:tcMar>
              <w:top w:w="80" w:type="dxa"/>
              <w:left w:w="100" w:type="dxa"/>
              <w:bottom w:w="80" w:type="dxa"/>
              <w:right w:w="100" w:type="dxa"/>
            </w:tcMar>
            <w:vAlign w:val="center"/>
          </w:tcPr>
          <w:p w:rsidR="008F1637" w:rsidRPr="002B7DFF" w:rsidRDefault="00645877">
            <w:r w:rsidRPr="002B7DFF">
              <w:rPr>
                <w:color w:val="000000"/>
                <w:sz w:val="19"/>
                <w:szCs w:val="19"/>
              </w:rPr>
              <w:t>The underlying requirement is mandatory, but the quality/completeness of the Vendor's approach is scored.</w:t>
            </w:r>
          </w:p>
        </w:tc>
      </w:tr>
      <w:tr w:rsidR="008F1637" w:rsidRPr="002B7DFF">
        <w:tc>
          <w:tcPr>
            <w:tcW w:w="900" w:type="dxa"/>
            <w:shd w:val="clear" w:color="auto" w:fill="FFFFFF"/>
            <w:tcMar>
              <w:top w:w="80" w:type="dxa"/>
              <w:left w:w="100" w:type="dxa"/>
              <w:bottom w:w="80" w:type="dxa"/>
              <w:right w:w="100" w:type="dxa"/>
            </w:tcMar>
            <w:vAlign w:val="center"/>
          </w:tcPr>
          <w:p w:rsidR="008F1637" w:rsidRPr="002B7DFF" w:rsidRDefault="00645877">
            <w:pPr>
              <w:jc w:val="center"/>
            </w:pPr>
            <w:r w:rsidRPr="002B7DFF">
              <w:rPr>
                <w:b/>
                <w:bCs/>
                <w:color w:val="000000"/>
                <w:sz w:val="19"/>
                <w:szCs w:val="19"/>
              </w:rPr>
              <w:t>S</w:t>
            </w:r>
          </w:p>
        </w:tc>
        <w:tc>
          <w:tcPr>
            <w:tcW w:w="1800" w:type="dxa"/>
            <w:shd w:val="clear" w:color="auto" w:fill="FFFFFF"/>
            <w:tcMar>
              <w:top w:w="80" w:type="dxa"/>
              <w:left w:w="100" w:type="dxa"/>
              <w:bottom w:w="80" w:type="dxa"/>
              <w:right w:w="100" w:type="dxa"/>
            </w:tcMar>
            <w:vAlign w:val="center"/>
          </w:tcPr>
          <w:p w:rsidR="008F1637" w:rsidRPr="002B7DFF" w:rsidRDefault="00645877">
            <w:r w:rsidRPr="002B7DFF">
              <w:rPr>
                <w:b/>
                <w:bCs/>
                <w:color w:val="000000"/>
                <w:sz w:val="19"/>
                <w:szCs w:val="19"/>
              </w:rPr>
              <w:t>Scored</w:t>
            </w:r>
          </w:p>
        </w:tc>
        <w:tc>
          <w:tcPr>
            <w:tcW w:w="6660" w:type="dxa"/>
            <w:shd w:val="clear" w:color="auto" w:fill="FFFFFF"/>
            <w:tcMar>
              <w:top w:w="80" w:type="dxa"/>
              <w:left w:w="100" w:type="dxa"/>
              <w:bottom w:w="80" w:type="dxa"/>
              <w:right w:w="100" w:type="dxa"/>
            </w:tcMar>
            <w:vAlign w:val="center"/>
          </w:tcPr>
          <w:p w:rsidR="008F1637" w:rsidRPr="002B7DFF" w:rsidRDefault="00645877">
            <w:r w:rsidRPr="002B7DFF">
              <w:rPr>
                <w:color w:val="000000"/>
                <w:sz w:val="19"/>
                <w:szCs w:val="19"/>
              </w:rPr>
              <w:t>Not pass/fail; the Vendor's proposed approach is evaluated and scored on effectiveness.</w:t>
            </w:r>
          </w:p>
        </w:tc>
      </w:tr>
    </w:tbl>
    <w:p w:rsidR="008F1637" w:rsidRDefault="00645877" w:rsidP="00C219D1">
      <w:pPr>
        <w:spacing w:after="160" w:line="276" w:lineRule="auto"/>
      </w:pPr>
      <w:r w:rsidRPr="002B7DFF">
        <w:rPr>
          <w:color w:val="000000"/>
        </w:rPr>
        <w:t>This revision deliberately uses “M” more sparingly than a first draft might: it's reserved for genuine compliance/legal floors and basic engineering hygiene that hold regardless of approach. Where DOR has a preference but a well-justified alternative could reasonably serve the same need (e.g., technology stack, specific cloud services, specific numeric performance targets not yet confirmed with real usage data), the requirement is “S” or “MS” instead — Vendor proposes and justifies</w:t>
      </w:r>
      <w:r>
        <w:rPr>
          <w:color w:val="000000"/>
        </w:rPr>
        <w:t xml:space="preserve"> its approach, and DOR evaluates it, rather than a single prescribed mechanism gating the proposal.</w:t>
      </w:r>
    </w:p>
    <w:p w:rsidR="008F1637" w:rsidRDefault="19ABCA90" w:rsidP="38641A08">
      <w:pPr>
        <w:pStyle w:val="Heading2"/>
        <w:rPr>
          <w:b/>
          <w:bCs/>
          <w:color w:val="1F3864"/>
          <w:sz w:val="24"/>
          <w:szCs w:val="24"/>
        </w:rPr>
      </w:pPr>
      <w:r w:rsidRPr="707D4F99">
        <w:rPr>
          <w:b/>
          <w:bCs/>
          <w:color w:val="1F3864"/>
          <w:sz w:val="24"/>
          <w:szCs w:val="24"/>
        </w:rPr>
        <w:t>1.</w:t>
      </w:r>
      <w:r w:rsidR="2D8A3D38" w:rsidRPr="707D4F99">
        <w:rPr>
          <w:b/>
          <w:bCs/>
          <w:color w:val="1F3864"/>
          <w:sz w:val="24"/>
          <w:szCs w:val="24"/>
        </w:rPr>
        <w:t>2</w:t>
      </w:r>
      <w:r w:rsidRPr="707D4F99">
        <w:rPr>
          <w:b/>
          <w:bCs/>
          <w:color w:val="1F3864"/>
          <w:sz w:val="24"/>
          <w:szCs w:val="24"/>
        </w:rPr>
        <w:t xml:space="preserve">  Solution Delivery Approaches DOR </w:t>
      </w:r>
      <w:r w:rsidR="542A715B" w:rsidRPr="707D4F99">
        <w:rPr>
          <w:b/>
          <w:bCs/>
          <w:color w:val="1F3864"/>
          <w:sz w:val="24"/>
          <w:szCs w:val="24"/>
        </w:rPr>
        <w:t>w</w:t>
      </w:r>
      <w:r w:rsidRPr="707D4F99">
        <w:rPr>
          <w:b/>
          <w:bCs/>
          <w:color w:val="1F3864"/>
          <w:sz w:val="24"/>
          <w:szCs w:val="24"/>
        </w:rPr>
        <w:t>ill Accept</w:t>
      </w:r>
    </w:p>
    <w:p w:rsidR="008F1637" w:rsidRDefault="00645877">
      <w:pPr>
        <w:spacing w:after="160" w:line="276" w:lineRule="auto"/>
      </w:pPr>
      <w:r>
        <w:rPr>
          <w:b/>
          <w:bCs/>
          <w:color w:val="000000"/>
        </w:rPr>
        <w:t>DOR will accept proposals under any of the approaches below.</w:t>
      </w:r>
    </w:p>
    <w:p w:rsidR="00093EDB" w:rsidRDefault="00093EDB" w:rsidP="00093EDB">
      <w:pPr>
        <w:spacing w:after="100" w:line="264" w:lineRule="auto"/>
      </w:pPr>
      <w:r w:rsidRPr="006C1BFE">
        <w:rPr>
          <w:b/>
          <w:bCs/>
        </w:rPr>
        <w:t xml:space="preserve">•  </w:t>
      </w:r>
      <w:r w:rsidR="00EB19D1" w:rsidRPr="00AE1ED6">
        <w:t>Vendor</w:t>
      </w:r>
      <w:r>
        <w:rPr>
          <w:b/>
          <w:bCs/>
        </w:rPr>
        <w:t xml:space="preserve"> </w:t>
      </w:r>
      <w:r w:rsidRPr="00EB19D1">
        <w:t>Existing Platform</w:t>
      </w:r>
      <w:r>
        <w:t xml:space="preserve"> (Configured): Vendor offers an existing commercial product</w:t>
      </w:r>
      <w:r w:rsidR="00A965FD">
        <w:t xml:space="preserve"> (such as a SAAS)</w:t>
      </w:r>
      <w:r>
        <w:t>, hosted by Vendor or as a deployable solution within DOR, configured (not custom-built) to meet DOR's requirements. DOR does not own the underlying platform code. SaaS delivery is preferred.</w:t>
      </w:r>
    </w:p>
    <w:p w:rsidR="008F1637" w:rsidRPr="00AE1ED6" w:rsidRDefault="00645877">
      <w:pPr>
        <w:spacing w:after="100" w:line="264" w:lineRule="auto"/>
        <w:rPr>
          <w:b/>
        </w:rPr>
      </w:pPr>
      <w:r>
        <w:rPr>
          <w:b/>
          <w:bCs/>
        </w:rPr>
        <w:t xml:space="preserve">•  </w:t>
      </w:r>
      <w:r>
        <w:t>DOR-Hosted, Custom-Built: Vendor designs and builds a new, custom solution. DOR takes ownership of the code and deploys, hosts, and operates it in DOR's own AWS environment.</w:t>
      </w:r>
    </w:p>
    <w:p w:rsidR="008F1637" w:rsidRDefault="00645877">
      <w:pPr>
        <w:spacing w:after="100" w:line="264" w:lineRule="auto"/>
      </w:pPr>
      <w:r>
        <w:rPr>
          <w:b/>
          <w:bCs/>
        </w:rPr>
        <w:t xml:space="preserve">•  </w:t>
      </w:r>
      <w:r>
        <w:t>Vendor-Hosted, Custom-Built, Vendor-Managed: Vendor builds a custom solution</w:t>
      </w:r>
      <w:r w:rsidR="00E857E6">
        <w:t xml:space="preserve">, </w:t>
      </w:r>
      <w:r>
        <w:t xml:space="preserve">hosts </w:t>
      </w:r>
      <w:r w:rsidR="009B5BCB">
        <w:t>the solution</w:t>
      </w:r>
      <w:r>
        <w:t xml:space="preserve"> in Vendor's own environment and continues to manage the code and the service rather than turning it over to DOR. SaaS delivery is preferred.</w:t>
      </w:r>
    </w:p>
    <w:p w:rsidR="008F1637" w:rsidRDefault="00645877">
      <w:pPr>
        <w:spacing w:after="160" w:line="276" w:lineRule="auto"/>
      </w:pPr>
      <w:r>
        <w:rPr>
          <w:color w:val="000000"/>
        </w:rPr>
        <w:t>Rather than maintaining a separate requirements list per approach, Section 4 states requirements generically and calls out a condition inline only where the underlying obligation genuinely depends on who deploys and operates the solution. Section 1.4 explains the two operating postures those conditions refer to.</w:t>
      </w:r>
    </w:p>
    <w:p w:rsidR="008F1637" w:rsidRDefault="00645877">
      <w:pPr>
        <w:pStyle w:val="Heading2"/>
      </w:pPr>
      <w:r>
        <w:rPr>
          <w:b/>
          <w:bCs/>
          <w:color w:val="1F3864"/>
          <w:sz w:val="24"/>
          <w:szCs w:val="24"/>
        </w:rPr>
        <w:t>1.</w:t>
      </w:r>
      <w:r w:rsidR="00CF1C51">
        <w:rPr>
          <w:b/>
          <w:bCs/>
          <w:color w:val="1F3864"/>
          <w:sz w:val="24"/>
          <w:szCs w:val="24"/>
        </w:rPr>
        <w:t>3</w:t>
      </w:r>
      <w:r>
        <w:rPr>
          <w:b/>
          <w:bCs/>
          <w:color w:val="1F3864"/>
          <w:sz w:val="24"/>
          <w:szCs w:val="24"/>
        </w:rPr>
        <w:t xml:space="preserve">  Engagement Principles</w:t>
      </w:r>
    </w:p>
    <w:p w:rsidR="008F1637" w:rsidRDefault="00645877">
      <w:pPr>
        <w:spacing w:after="160" w:line="276" w:lineRule="auto"/>
      </w:pPr>
      <w:r>
        <w:rPr>
          <w:b/>
          <w:bCs/>
          <w:color w:val="000000"/>
        </w:rPr>
        <w:t>Every conditional clause in Section 4 (“where DOR deploys…,” “where Vendor hosts…”) maps to one of two operating postures:</w:t>
      </w:r>
    </w:p>
    <w:p w:rsidR="008F1637" w:rsidRDefault="00645877">
      <w:pPr>
        <w:spacing w:after="100" w:line="264" w:lineRule="auto"/>
      </w:pPr>
      <w:r>
        <w:rPr>
          <w:b/>
          <w:bCs/>
        </w:rPr>
        <w:t xml:space="preserve">•  </w:t>
      </w:r>
      <w:r>
        <w:t xml:space="preserve">DOR-Operated — typical of the DOR-hosted approach: DOR deploys, hosts, and operates the solution independently </w:t>
      </w:r>
      <w:r w:rsidR="009E2B66">
        <w:t xml:space="preserve">or with </w:t>
      </w:r>
      <w:r w:rsidR="0014147E">
        <w:t xml:space="preserve">ongoing support </w:t>
      </w:r>
      <w:r>
        <w:t xml:space="preserve">after a defined delivery and knowledge-transfer period. Vendor holds no access to DOR's environment at any point, during the engagement or after (TR-206, TR-1406). </w:t>
      </w:r>
    </w:p>
    <w:p w:rsidR="008F1637" w:rsidRDefault="00645877">
      <w:pPr>
        <w:spacing w:after="100" w:line="264" w:lineRule="auto"/>
      </w:pPr>
      <w:r>
        <w:rPr>
          <w:b/>
          <w:bCs/>
        </w:rPr>
        <w:t xml:space="preserve">•  </w:t>
      </w:r>
      <w:r>
        <w:t xml:space="preserve">Vendor-Hosted — typical of the vendor-hosted </w:t>
      </w:r>
      <w:r w:rsidR="00124E69">
        <w:t xml:space="preserve">SaaS </w:t>
      </w:r>
      <w:r>
        <w:t>approaches: Vendor deploys, hosts, and operates the solution on an ongoing basis. DOR holds no infrastructure-level access but retains full rights to its own data (TR-1301), a defined uptime and incident-notification commitment (TR-1405), and a defined path to export its data and transition away if the contract ends (TR-1306, TR-1307).</w:t>
      </w:r>
    </w:p>
    <w:p w:rsidR="008F1637" w:rsidRDefault="00645877">
      <w:pPr>
        <w:spacing w:after="100" w:line="264" w:lineRule="auto"/>
      </w:pPr>
      <w:r>
        <w:t>A single proposal may combine elements of both — for example, a custom build that Vendor hosts. Vendor should describe its proposed posture clearly in response to TR-202, and DOR will read the conditional requirements in Section 4 against whichever posture the proposal actually takes.</w:t>
      </w:r>
    </w:p>
    <w:p w:rsidR="008F1637" w:rsidRDefault="00645877">
      <w:pPr>
        <w:pStyle w:val="Heading1"/>
        <w:pBdr>
          <w:bottom w:val="single" w:sz="6" w:space="4" w:color="1F3864"/>
        </w:pBdr>
      </w:pPr>
      <w:r>
        <w:rPr>
          <w:b/>
          <w:bCs/>
          <w:color w:val="1F3864"/>
          <w:sz w:val="30"/>
          <w:szCs w:val="30"/>
        </w:rPr>
        <w:t>2. Referenced Public Policies &amp; Standards</w:t>
      </w:r>
    </w:p>
    <w:p w:rsidR="008F1637" w:rsidRDefault="00645877">
      <w:pPr>
        <w:spacing w:after="160" w:line="276" w:lineRule="auto"/>
      </w:pPr>
      <w:r>
        <w:rPr>
          <w:color w:val="000000"/>
        </w:rPr>
        <w:t>The requirements in Section 4 are grounded in the following publicly published standards, policies, and statutes. Every citation below is something a Vendor can locate and read independently — no DOR-internal document is required to understand or respond to a requirement that cites one of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F1637" w:rsidTr="38641A08">
        <w:trPr>
          <w:tblHeader/>
        </w:trPr>
        <w:tc>
          <w:tcPr>
            <w:tcW w:w="3200" w:type="dxa"/>
            <w:shd w:val="clear" w:color="auto" w:fill="1F3864"/>
            <w:tcMar>
              <w:top w:w="80" w:type="dxa"/>
              <w:left w:w="100" w:type="dxa"/>
              <w:bottom w:w="80" w:type="dxa"/>
              <w:right w:w="100" w:type="dxa"/>
            </w:tcMar>
            <w:vAlign w:val="center"/>
          </w:tcPr>
          <w:p w:rsidR="008F1637" w:rsidRDefault="00645877">
            <w:r>
              <w:rPr>
                <w:b/>
                <w:bCs/>
                <w:color w:val="FFFFFF"/>
                <w:sz w:val="19"/>
                <w:szCs w:val="19"/>
              </w:rPr>
              <w:t>Reference</w:t>
            </w:r>
          </w:p>
        </w:tc>
        <w:tc>
          <w:tcPr>
            <w:tcW w:w="61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Relevance</w:t>
            </w:r>
          </w:p>
        </w:tc>
      </w:tr>
      <w:tr w:rsidR="008F1637" w:rsidTr="38641A08">
        <w:tc>
          <w:tcPr>
            <w:tcW w:w="3200" w:type="dxa"/>
            <w:shd w:val="clear" w:color="auto" w:fill="FFFFFF" w:themeFill="background2"/>
            <w:tcMar>
              <w:top w:w="80" w:type="dxa"/>
              <w:left w:w="100" w:type="dxa"/>
              <w:bottom w:w="80" w:type="dxa"/>
              <w:right w:w="100" w:type="dxa"/>
            </w:tcMar>
            <w:vAlign w:val="center"/>
          </w:tcPr>
          <w:p w:rsidR="008F1637" w:rsidRDefault="00654EDF">
            <w:r>
              <w:rPr>
                <w:b/>
                <w:bCs/>
                <w:color w:val="000000"/>
                <w:sz w:val="18"/>
                <w:szCs w:val="18"/>
              </w:rPr>
              <w:t xml:space="preserve">WaTech OCIO IT Security Policy SEC-01  &amp; Standard </w:t>
            </w:r>
            <w:r w:rsidRPr="0024573D">
              <w:rPr>
                <w:b/>
                <w:bCs/>
                <w:color w:val="000000"/>
                <w:sz w:val="18"/>
                <w:szCs w:val="18"/>
              </w:rPr>
              <w:t>SEC-02-01-S</w:t>
            </w:r>
          </w:p>
        </w:tc>
        <w:tc>
          <w:tcPr>
            <w:tcW w:w="6160" w:type="dxa"/>
            <w:shd w:val="clear" w:color="auto" w:fill="FFFFFF" w:themeFill="background2"/>
            <w:tcMar>
              <w:top w:w="80" w:type="dxa"/>
              <w:left w:w="100" w:type="dxa"/>
              <w:bottom w:w="80" w:type="dxa"/>
              <w:right w:w="100" w:type="dxa"/>
            </w:tcMar>
            <w:vAlign w:val="center"/>
          </w:tcPr>
          <w:p w:rsidR="008F1637" w:rsidRDefault="00645877">
            <w:r>
              <w:rPr>
                <w:color w:val="000000"/>
                <w:sz w:val="18"/>
                <w:szCs w:val="18"/>
              </w:rPr>
              <w:t>Securing Information Technology Assets — baseline security controls, Security Design Review process, data classification categories, logging and incident response. Publicly available at watech.wa.gov.</w:t>
            </w:r>
          </w:p>
        </w:tc>
      </w:tr>
      <w:tr w:rsidR="008F1637" w:rsidTr="38641A08">
        <w:tc>
          <w:tcPr>
            <w:tcW w:w="3200" w:type="dxa"/>
            <w:shd w:val="clear" w:color="auto" w:fill="F2F2F2" w:themeFill="background2" w:themeFillShade="F2"/>
            <w:tcMar>
              <w:top w:w="80" w:type="dxa"/>
              <w:left w:w="100" w:type="dxa"/>
              <w:bottom w:w="80" w:type="dxa"/>
              <w:right w:w="100" w:type="dxa"/>
            </w:tcMar>
            <w:vAlign w:val="center"/>
          </w:tcPr>
          <w:p w:rsidR="008F1637" w:rsidRDefault="00DD1B00">
            <w:r>
              <w:rPr>
                <w:b/>
                <w:bCs/>
                <w:color w:val="000000"/>
                <w:sz w:val="18"/>
                <w:szCs w:val="18"/>
              </w:rPr>
              <w:t xml:space="preserve">Washington Data Sharing Policy – Data Classification (Std. </w:t>
            </w:r>
            <w:r w:rsidRPr="00B2712B">
              <w:rPr>
                <w:b/>
                <w:bCs/>
                <w:color w:val="000000"/>
                <w:sz w:val="18"/>
                <w:szCs w:val="18"/>
              </w:rPr>
              <w:t>SEC-08-01-S</w:t>
            </w:r>
            <w:r>
              <w:rPr>
                <w:b/>
                <w:bCs/>
                <w:color w:val="000000"/>
                <w:sz w:val="18"/>
                <w:szCs w:val="18"/>
              </w:rPr>
              <w:t>)</w:t>
            </w:r>
          </w:p>
        </w:tc>
        <w:tc>
          <w:tcPr>
            <w:tcW w:w="61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8"/>
                <w:szCs w:val="18"/>
              </w:rPr>
              <w:t>Defines Category 1 (Public) through Category 4 (Confidential, Special Handling) data classifications referenced in Section 4.4.</w:t>
            </w:r>
          </w:p>
        </w:tc>
      </w:tr>
      <w:tr w:rsidR="008F1637" w:rsidTr="38641A08">
        <w:tc>
          <w:tcPr>
            <w:tcW w:w="3200" w:type="dxa"/>
            <w:shd w:val="clear" w:color="auto" w:fill="FFFFFF" w:themeFill="background2"/>
            <w:tcMar>
              <w:top w:w="80" w:type="dxa"/>
              <w:left w:w="100" w:type="dxa"/>
              <w:bottom w:w="80" w:type="dxa"/>
              <w:right w:w="100" w:type="dxa"/>
            </w:tcMar>
            <w:vAlign w:val="center"/>
          </w:tcPr>
          <w:p w:rsidR="008F1637" w:rsidRDefault="00645877">
            <w:r>
              <w:rPr>
                <w:b/>
                <w:bCs/>
                <w:color w:val="000000"/>
                <w:sz w:val="18"/>
                <w:szCs w:val="18"/>
              </w:rPr>
              <w:t>WaTech Digital Accessibility Standard USER-01-01-S (Policy USER-01, formerly Policy 188)</w:t>
            </w:r>
          </w:p>
        </w:tc>
        <w:tc>
          <w:tcPr>
            <w:tcW w:w="6160" w:type="dxa"/>
            <w:shd w:val="clear" w:color="auto" w:fill="FFFFFF" w:themeFill="background2"/>
            <w:tcMar>
              <w:top w:w="80" w:type="dxa"/>
              <w:left w:w="100" w:type="dxa"/>
              <w:bottom w:w="80" w:type="dxa"/>
              <w:right w:w="100" w:type="dxa"/>
            </w:tcMar>
            <w:vAlign w:val="center"/>
          </w:tcPr>
          <w:p w:rsidR="008F1637" w:rsidRDefault="00645877">
            <w:r>
              <w:rPr>
                <w:color w:val="000000"/>
                <w:sz w:val="18"/>
                <w:szCs w:val="18"/>
              </w:rPr>
              <w:t>Requires WCAG 2.2 Level AA conformance for technology. Publicly available at watech.wa.gov.</w:t>
            </w:r>
          </w:p>
        </w:tc>
      </w:tr>
      <w:tr w:rsidR="008F1637" w:rsidTr="38641A08">
        <w:tc>
          <w:tcPr>
            <w:tcW w:w="3200" w:type="dxa"/>
            <w:shd w:val="clear" w:color="auto" w:fill="F2F2F2" w:themeFill="background2" w:themeFillShade="F2"/>
            <w:tcMar>
              <w:top w:w="80" w:type="dxa"/>
              <w:left w:w="100" w:type="dxa"/>
              <w:bottom w:w="80" w:type="dxa"/>
              <w:right w:w="100" w:type="dxa"/>
            </w:tcMar>
            <w:vAlign w:val="center"/>
          </w:tcPr>
          <w:p w:rsidR="008F1637" w:rsidRDefault="00645877">
            <w:r>
              <w:rPr>
                <w:b/>
                <w:bCs/>
                <w:color w:val="000000"/>
                <w:sz w:val="18"/>
                <w:szCs w:val="18"/>
              </w:rPr>
              <w:t>RCW 43.105</w:t>
            </w:r>
          </w:p>
        </w:tc>
        <w:tc>
          <w:tcPr>
            <w:tcW w:w="61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8"/>
                <w:szCs w:val="18"/>
              </w:rPr>
              <w:t>Statutory authority establishing WaTech and the state Chief Information Officer.</w:t>
            </w:r>
          </w:p>
        </w:tc>
      </w:tr>
      <w:tr w:rsidR="008F1637" w:rsidTr="38641A08">
        <w:tc>
          <w:tcPr>
            <w:tcW w:w="3200" w:type="dxa"/>
            <w:shd w:val="clear" w:color="auto" w:fill="FFFFFF" w:themeFill="background2"/>
            <w:tcMar>
              <w:top w:w="80" w:type="dxa"/>
              <w:left w:w="100" w:type="dxa"/>
              <w:bottom w:w="80" w:type="dxa"/>
              <w:right w:w="100" w:type="dxa"/>
            </w:tcMar>
            <w:vAlign w:val="center"/>
          </w:tcPr>
          <w:p w:rsidR="008F1637" w:rsidRDefault="00645877">
            <w:r>
              <w:rPr>
                <w:b/>
                <w:bCs/>
                <w:color w:val="000000"/>
                <w:sz w:val="18"/>
                <w:szCs w:val="18"/>
              </w:rPr>
              <w:t>RCW 39.26</w:t>
            </w:r>
          </w:p>
        </w:tc>
        <w:tc>
          <w:tcPr>
            <w:tcW w:w="6160" w:type="dxa"/>
            <w:shd w:val="clear" w:color="auto" w:fill="FFFFFF" w:themeFill="background2"/>
            <w:tcMar>
              <w:top w:w="80" w:type="dxa"/>
              <w:left w:w="100" w:type="dxa"/>
              <w:bottom w:w="80" w:type="dxa"/>
              <w:right w:w="100" w:type="dxa"/>
            </w:tcMar>
            <w:vAlign w:val="center"/>
          </w:tcPr>
          <w:p w:rsidR="008F1637" w:rsidRDefault="00645877">
            <w:r>
              <w:rPr>
                <w:color w:val="000000"/>
                <w:sz w:val="18"/>
                <w:szCs w:val="18"/>
              </w:rPr>
              <w:t>Washington State procurement of goods and services, including IT.</w:t>
            </w:r>
          </w:p>
        </w:tc>
      </w:tr>
      <w:tr w:rsidR="008F1637" w:rsidTr="38641A08">
        <w:tc>
          <w:tcPr>
            <w:tcW w:w="3200" w:type="dxa"/>
            <w:shd w:val="clear" w:color="auto" w:fill="FFFFFF" w:themeFill="background2"/>
            <w:tcMar>
              <w:top w:w="80" w:type="dxa"/>
              <w:left w:w="100" w:type="dxa"/>
              <w:bottom w:w="80" w:type="dxa"/>
              <w:right w:w="100" w:type="dxa"/>
            </w:tcMar>
            <w:vAlign w:val="center"/>
          </w:tcPr>
          <w:p w:rsidR="008F1637" w:rsidRDefault="00645877">
            <w:r>
              <w:rPr>
                <w:b/>
                <w:bCs/>
                <w:color w:val="000000"/>
                <w:sz w:val="18"/>
                <w:szCs w:val="18"/>
              </w:rPr>
              <w:t>17 U.S.C. § 101</w:t>
            </w:r>
          </w:p>
        </w:tc>
        <w:tc>
          <w:tcPr>
            <w:tcW w:w="6160" w:type="dxa"/>
            <w:shd w:val="clear" w:color="auto" w:fill="FFFFFF" w:themeFill="background2"/>
            <w:tcMar>
              <w:top w:w="80" w:type="dxa"/>
              <w:left w:w="100" w:type="dxa"/>
              <w:bottom w:w="80" w:type="dxa"/>
              <w:right w:w="100" w:type="dxa"/>
            </w:tcMar>
            <w:vAlign w:val="center"/>
          </w:tcPr>
          <w:p w:rsidR="008F1637" w:rsidRDefault="00645877">
            <w:r>
              <w:rPr>
                <w:color w:val="000000"/>
                <w:sz w:val="18"/>
                <w:szCs w:val="18"/>
              </w:rPr>
              <w:t>Federal copyright statute defining “work made for hire,” cited in Section 4.13.</w:t>
            </w:r>
          </w:p>
        </w:tc>
      </w:tr>
      <w:tr w:rsidR="008F1637" w:rsidTr="38641A08">
        <w:tc>
          <w:tcPr>
            <w:tcW w:w="3200" w:type="dxa"/>
            <w:shd w:val="clear" w:color="auto" w:fill="F2F2F2" w:themeFill="background2" w:themeFillShade="F2"/>
            <w:tcMar>
              <w:top w:w="80" w:type="dxa"/>
              <w:left w:w="100" w:type="dxa"/>
              <w:bottom w:w="80" w:type="dxa"/>
              <w:right w:w="100" w:type="dxa"/>
            </w:tcMar>
            <w:vAlign w:val="center"/>
          </w:tcPr>
          <w:p w:rsidR="008F1637" w:rsidRDefault="00645877">
            <w:r>
              <w:rPr>
                <w:b/>
                <w:bCs/>
                <w:color w:val="000000"/>
                <w:sz w:val="18"/>
                <w:szCs w:val="18"/>
              </w:rPr>
              <w:t>Washington State Government General Records Retention Schedule (SGGRRS), Washington State Archives</w:t>
            </w:r>
          </w:p>
        </w:tc>
        <w:tc>
          <w:tcPr>
            <w:tcW w:w="61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8"/>
                <w:szCs w:val="18"/>
              </w:rPr>
              <w:t>Publicly searchable at sos.wa.gov/archives; current version 6.3 (Oct. 2024). Governs minimum retention for records series common to all state agencies.</w:t>
            </w:r>
          </w:p>
        </w:tc>
      </w:tr>
      <w:tr w:rsidR="008F1637" w:rsidTr="38641A08">
        <w:tc>
          <w:tcPr>
            <w:tcW w:w="3200" w:type="dxa"/>
            <w:shd w:val="clear" w:color="auto" w:fill="FFFFFF" w:themeFill="background2"/>
            <w:tcMar>
              <w:top w:w="80" w:type="dxa"/>
              <w:left w:w="100" w:type="dxa"/>
              <w:bottom w:w="80" w:type="dxa"/>
              <w:right w:w="100" w:type="dxa"/>
            </w:tcMar>
            <w:vAlign w:val="center"/>
          </w:tcPr>
          <w:p w:rsidR="008F1637" w:rsidRDefault="00645877" w:rsidP="38641A08">
            <w:pPr>
              <w:rPr>
                <w:b/>
                <w:bCs/>
                <w:color w:val="000000"/>
                <w:sz w:val="18"/>
                <w:szCs w:val="18"/>
              </w:rPr>
            </w:pPr>
            <w:proofErr w:type="spellStart"/>
            <w:r w:rsidRPr="38641A08">
              <w:rPr>
                <w:b/>
                <w:bCs/>
                <w:color w:val="000000"/>
                <w:sz w:val="18"/>
                <w:szCs w:val="18"/>
              </w:rPr>
              <w:t>GovRAMP</w:t>
            </w:r>
            <w:proofErr w:type="spellEnd"/>
          </w:p>
        </w:tc>
        <w:tc>
          <w:tcPr>
            <w:tcW w:w="6160" w:type="dxa"/>
            <w:shd w:val="clear" w:color="auto" w:fill="FFFFFF" w:themeFill="background2"/>
            <w:tcMar>
              <w:top w:w="80" w:type="dxa"/>
              <w:left w:w="100" w:type="dxa"/>
              <w:bottom w:w="80" w:type="dxa"/>
              <w:right w:w="100" w:type="dxa"/>
            </w:tcMar>
            <w:vAlign w:val="center"/>
          </w:tcPr>
          <w:p w:rsidR="008F1637" w:rsidRDefault="00645877">
            <w:r>
              <w:rPr>
                <w:color w:val="000000"/>
                <w:sz w:val="18"/>
                <w:szCs w:val="18"/>
              </w:rPr>
              <w:t>Independent, NIST 800-53-based security authorization framework for cloud service providers serving state/local government, referenced in Section 4.2. Publicly available at govramp.org. Adoption is state-by-state — see Section 5, Checklist Item 9, for whether WaTech specifically requires it.</w:t>
            </w:r>
          </w:p>
        </w:tc>
      </w:tr>
      <w:tr w:rsidR="38641A08" w:rsidTr="38641A08">
        <w:trPr>
          <w:trHeight w:val="300"/>
        </w:trPr>
        <w:tc>
          <w:tcPr>
            <w:tcW w:w="3200" w:type="dxa"/>
            <w:shd w:val="clear" w:color="auto" w:fill="FFFFFF" w:themeFill="background2"/>
            <w:tcMar>
              <w:top w:w="80" w:type="dxa"/>
              <w:left w:w="100" w:type="dxa"/>
              <w:bottom w:w="80" w:type="dxa"/>
              <w:right w:w="100" w:type="dxa"/>
            </w:tcMar>
            <w:vAlign w:val="center"/>
          </w:tcPr>
          <w:p w:rsidR="11FCDEAF" w:rsidRDefault="11FCDEAF" w:rsidP="38641A08">
            <w:pPr>
              <w:rPr>
                <w:b/>
                <w:bCs/>
                <w:color w:val="000000"/>
                <w:sz w:val="18"/>
                <w:szCs w:val="18"/>
              </w:rPr>
            </w:pPr>
            <w:r w:rsidRPr="38641A08">
              <w:rPr>
                <w:b/>
                <w:bCs/>
                <w:color w:val="000000"/>
                <w:sz w:val="18"/>
                <w:szCs w:val="18"/>
              </w:rPr>
              <w:t xml:space="preserve">WaTech Artificial Intelligence </w:t>
            </w:r>
            <w:hyperlink r:id="rId11" w:history="1">
              <w:r w:rsidRPr="38641A08">
                <w:rPr>
                  <w:rStyle w:val="Hyperlink"/>
                  <w:b/>
                  <w:bCs/>
                  <w:sz w:val="18"/>
                  <w:szCs w:val="18"/>
                </w:rPr>
                <w:t>Policy</w:t>
              </w:r>
            </w:hyperlink>
          </w:p>
        </w:tc>
        <w:tc>
          <w:tcPr>
            <w:tcW w:w="6160" w:type="dxa"/>
            <w:shd w:val="clear" w:color="auto" w:fill="FFFFFF" w:themeFill="background2"/>
            <w:tcMar>
              <w:top w:w="80" w:type="dxa"/>
              <w:left w:w="100" w:type="dxa"/>
              <w:bottom w:w="80" w:type="dxa"/>
              <w:right w:w="100" w:type="dxa"/>
            </w:tcMar>
            <w:vAlign w:val="center"/>
          </w:tcPr>
          <w:p w:rsidR="11FCDEAF" w:rsidRDefault="11FCDEAF" w:rsidP="38641A08">
            <w:pPr>
              <w:rPr>
                <w:color w:val="000000"/>
                <w:sz w:val="18"/>
                <w:szCs w:val="18"/>
              </w:rPr>
            </w:pPr>
            <w:r w:rsidRPr="38641A08">
              <w:rPr>
                <w:color w:val="000000"/>
                <w:sz w:val="18"/>
                <w:szCs w:val="18"/>
              </w:rPr>
              <w:t>Artificial Intelligence (AI) technologies that provide servi</w:t>
            </w:r>
            <w:r w:rsidR="07AD8B79" w:rsidRPr="38641A08">
              <w:rPr>
                <w:color w:val="000000"/>
                <w:sz w:val="18"/>
                <w:szCs w:val="18"/>
              </w:rPr>
              <w:t>c</w:t>
            </w:r>
            <w:r w:rsidRPr="38641A08">
              <w:rPr>
                <w:color w:val="000000"/>
                <w:sz w:val="18"/>
                <w:szCs w:val="18"/>
              </w:rPr>
              <w:t>es and perform government functions must be used by state agencies responsibly. Agencies must incorporate Washington State’s AI Principles into agency implementation of AI-enabled technology and Gener</w:t>
            </w:r>
            <w:r w:rsidR="07B20967" w:rsidRPr="38641A08">
              <w:rPr>
                <w:color w:val="000000"/>
                <w:sz w:val="18"/>
                <w:szCs w:val="18"/>
              </w:rPr>
              <w:t>ative AI and consider the guidelines for public sector procurement, deployment, and monitoring of Generative AI technology.</w:t>
            </w:r>
          </w:p>
        </w:tc>
      </w:tr>
    </w:tbl>
    <w:p w:rsidR="008F1637" w:rsidRDefault="00645877" w:rsidP="002B7DFF">
      <w:r>
        <w:br w:type="page"/>
      </w:r>
      <w:r w:rsidRPr="38641A08">
        <w:rPr>
          <w:b/>
          <w:bCs/>
          <w:color w:val="1F3864"/>
          <w:sz w:val="30"/>
          <w:szCs w:val="30"/>
        </w:rPr>
        <w:t xml:space="preserve">3. Attachments DOR Will Publish </w:t>
      </w:r>
      <w:r w:rsidR="40862DA4" w:rsidRPr="38641A08">
        <w:rPr>
          <w:b/>
          <w:bCs/>
          <w:color w:val="1F3864"/>
          <w:sz w:val="30"/>
          <w:szCs w:val="30"/>
        </w:rPr>
        <w:t>w</w:t>
      </w:r>
      <w:r w:rsidRPr="38641A08">
        <w:rPr>
          <w:b/>
          <w:bCs/>
          <w:color w:val="1F3864"/>
          <w:sz w:val="30"/>
          <w:szCs w:val="30"/>
        </w:rPr>
        <w:t>ith This RFP</w:t>
      </w:r>
    </w:p>
    <w:p w:rsidR="008F1637" w:rsidRDefault="00645877">
      <w:pPr>
        <w:spacing w:after="160" w:line="276" w:lineRule="auto"/>
      </w:pPr>
      <w:r>
        <w:rPr>
          <w:color w:val="000000"/>
        </w:rPr>
        <w:t>A small number of requirements point to DOR-specific material rather than a public standard. Rather than leaving those as vague internal references, each is instead pointed at a named attachment DOR commits to publishing alongside this RFP — so a Vendor always has a concrete document to read, never an unresolved pointer.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F1637">
        <w:trPr>
          <w:tblHeader/>
        </w:trPr>
        <w:tc>
          <w:tcPr>
            <w:tcW w:w="3200" w:type="dxa"/>
            <w:shd w:val="clear" w:color="auto" w:fill="1F3864"/>
            <w:tcMar>
              <w:top w:w="80" w:type="dxa"/>
              <w:left w:w="100" w:type="dxa"/>
              <w:bottom w:w="80" w:type="dxa"/>
              <w:right w:w="100" w:type="dxa"/>
            </w:tcMar>
            <w:vAlign w:val="center"/>
          </w:tcPr>
          <w:p w:rsidR="008F1637" w:rsidRDefault="00645877">
            <w:r>
              <w:rPr>
                <w:b/>
                <w:bCs/>
                <w:color w:val="FFFFFF"/>
                <w:sz w:val="19"/>
                <w:szCs w:val="19"/>
              </w:rPr>
              <w:t>Attachment</w:t>
            </w:r>
          </w:p>
        </w:tc>
        <w:tc>
          <w:tcPr>
            <w:tcW w:w="6160" w:type="dxa"/>
            <w:shd w:val="clear" w:color="auto" w:fill="1F3864"/>
            <w:tcMar>
              <w:top w:w="80" w:type="dxa"/>
              <w:left w:w="100" w:type="dxa"/>
              <w:bottom w:w="80" w:type="dxa"/>
              <w:right w:w="100" w:type="dxa"/>
            </w:tcMar>
            <w:vAlign w:val="center"/>
          </w:tcPr>
          <w:p w:rsidR="008F1637" w:rsidRDefault="00645877">
            <w:r>
              <w:rPr>
                <w:b/>
                <w:bCs/>
                <w:color w:val="FFFFFF"/>
                <w:sz w:val="19"/>
                <w:szCs w:val="19"/>
              </w:rPr>
              <w:t>Status</w:t>
            </w:r>
          </w:p>
        </w:tc>
      </w:tr>
      <w:tr w:rsidR="008F1637">
        <w:tc>
          <w:tcPr>
            <w:tcW w:w="3200" w:type="dxa"/>
            <w:shd w:val="clear" w:color="auto" w:fill="FFFFFF"/>
            <w:tcMar>
              <w:top w:w="80" w:type="dxa"/>
              <w:left w:w="100" w:type="dxa"/>
              <w:bottom w:w="80" w:type="dxa"/>
              <w:right w:w="100" w:type="dxa"/>
            </w:tcMar>
            <w:vAlign w:val="center"/>
          </w:tcPr>
          <w:p w:rsidR="008F1637" w:rsidRDefault="00645877">
            <w:r>
              <w:rPr>
                <w:b/>
                <w:bCs/>
                <w:color w:val="000000"/>
                <w:sz w:val="18"/>
                <w:szCs w:val="18"/>
              </w:rPr>
              <w:t>Attachment – System Integration Inventory</w:t>
            </w:r>
          </w:p>
        </w:tc>
        <w:tc>
          <w:tcPr>
            <w:tcW w:w="6160" w:type="dxa"/>
            <w:shd w:val="clear" w:color="auto" w:fill="FFFFFF"/>
            <w:tcMar>
              <w:top w:w="80" w:type="dxa"/>
              <w:left w:w="100" w:type="dxa"/>
              <w:bottom w:w="80" w:type="dxa"/>
              <w:right w:w="100" w:type="dxa"/>
            </w:tcMar>
            <w:vAlign w:val="center"/>
          </w:tcPr>
          <w:p w:rsidR="008F1637" w:rsidRDefault="00645877">
            <w:r>
              <w:rPr>
                <w:color w:val="000000"/>
                <w:sz w:val="18"/>
                <w:szCs w:val="18"/>
              </w:rPr>
              <w:t>Not yet created. BT (DOR's bill-data system of record — exact full name to be confirmed, see Checklist Item 4) is confirmed as one required integration (TR-602); the attachment still needs BT's specific protocol/data contract, plus any other DOR systems this solution must integrate with.</w:t>
            </w:r>
          </w:p>
        </w:tc>
      </w:tr>
    </w:tbl>
    <w:p w:rsidR="008F1637" w:rsidRDefault="00645877">
      <w:pPr>
        <w:pStyle w:val="Heading1"/>
        <w:pBdr>
          <w:bottom w:val="single" w:sz="6" w:space="4" w:color="1F3864"/>
        </w:pBdr>
      </w:pPr>
      <w:r>
        <w:rPr>
          <w:b/>
          <w:bCs/>
          <w:color w:val="1F3864"/>
          <w:sz w:val="30"/>
          <w:szCs w:val="30"/>
        </w:rPr>
        <w:t>4. Technical Requirements</w:t>
      </w:r>
    </w:p>
    <w:p w:rsidR="008F1637" w:rsidRDefault="19ABCA90" w:rsidP="707D4F99">
      <w:pPr>
        <w:spacing w:after="160" w:line="276" w:lineRule="auto"/>
        <w:rPr>
          <w:color w:val="000000"/>
        </w:rPr>
      </w:pPr>
      <w:r w:rsidRPr="707D4F99">
        <w:rPr>
          <w:color w:val="000000"/>
        </w:rPr>
        <w:t xml:space="preserve">Requirement IDs (TR-###) are stable identifiers for cross-reference during evaluation, contract negotiation, and post-award traceability. Where a requirement's obligation depends on who deploys and operates the solution, that condition is stated inline (Section 1.4) rather than through a separate tag or section — read each requirement's own text for its scope. </w:t>
      </w:r>
    </w:p>
    <w:p w:rsidR="008F1637" w:rsidRDefault="00EE588C">
      <w:pPr>
        <w:pStyle w:val="Heading2"/>
      </w:pPr>
      <w:r>
        <w:rPr>
          <w:b/>
          <w:bCs/>
          <w:color w:val="1F3864"/>
          <w:sz w:val="24"/>
          <w:szCs w:val="24"/>
        </w:rPr>
        <w:t xml:space="preserve">4.1  </w:t>
      </w:r>
      <w:r w:rsidR="00645877">
        <w:rPr>
          <w:b/>
          <w:bCs/>
          <w:color w:val="1F3864"/>
          <w:sz w:val="24"/>
          <w:szCs w:val="24"/>
        </w:rPr>
        <w:t>Architecture &amp; Technology Standards</w:t>
      </w:r>
    </w:p>
    <w:p w:rsidR="008F1637" w:rsidRDefault="00645877">
      <w:pPr>
        <w:spacing w:after="160" w:line="276" w:lineRule="auto"/>
      </w:pPr>
      <w:r>
        <w:rPr>
          <w:i/>
          <w:iCs/>
          <w:color w:val="000000"/>
        </w:rPr>
        <w:t>Establishes DOR's technology preferences and the baseline every proposal must meet, regardless of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rsidTr="38641A08">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TR-101</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Vendor shall describe the origin of the solution's codebase — a new custom build, an existing product being configured, or a hybrid — and how that origin affects delivery timeline, DOR's ability to influence functionality, and the ownership/rights position described in Section 4.13.</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TR-104</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sidRPr="38641A08">
              <w:rPr>
                <w:color w:val="000000"/>
                <w:sz w:val="19"/>
                <w:szCs w:val="19"/>
              </w:rPr>
              <w:t xml:space="preserve">DOR prefers AWS </w:t>
            </w:r>
            <w:r w:rsidR="00E758E0">
              <w:rPr>
                <w:color w:val="000000"/>
                <w:sz w:val="19"/>
                <w:szCs w:val="19"/>
              </w:rPr>
              <w:t>or Azure</w:t>
            </w:r>
            <w:r w:rsidRPr="38641A08">
              <w:rPr>
                <w:color w:val="000000"/>
                <w:sz w:val="19"/>
                <w:szCs w:val="19"/>
              </w:rPr>
              <w:t xml:space="preserve"> as the underlying cloud provider. Vendor shall identify its </w:t>
            </w:r>
            <w:r w:rsidR="36936A5D" w:rsidRPr="38641A08">
              <w:rPr>
                <w:color w:val="000000"/>
                <w:sz w:val="19"/>
                <w:szCs w:val="19"/>
              </w:rPr>
              <w:t xml:space="preserve">supported </w:t>
            </w:r>
            <w:r w:rsidR="2F7748B0" w:rsidRPr="38641A08">
              <w:rPr>
                <w:color w:val="000000"/>
                <w:sz w:val="19"/>
                <w:szCs w:val="19"/>
              </w:rPr>
              <w:t>and</w:t>
            </w:r>
            <w:r w:rsidR="36936A5D" w:rsidRPr="38641A08">
              <w:rPr>
                <w:color w:val="000000"/>
                <w:sz w:val="19"/>
                <w:szCs w:val="19"/>
              </w:rPr>
              <w:t xml:space="preserve"> preferred hosting </w:t>
            </w:r>
            <w:r w:rsidR="2F7748B0" w:rsidRPr="38641A08">
              <w:rPr>
                <w:color w:val="000000"/>
                <w:sz w:val="19"/>
                <w:szCs w:val="19"/>
              </w:rPr>
              <w:t>platform</w:t>
            </w:r>
            <w:r w:rsidRPr="38641A08">
              <w:rPr>
                <w:color w:val="000000"/>
                <w:sz w:val="19"/>
                <w:szCs w:val="19"/>
              </w:rPr>
              <w:t>, and justify that choice against cost, security, and DOR's ability to gain assurance over the environment (Section 4.2).</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S</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TR-105</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Vendor shall describe how the proposed solution limits lock-in — avoiding proprietary, non-portable services where reasonable alternatives exist, and supporting the data-portability and exit provisions in Section 4.13 regardless of who owns the underlying platform.</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S</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TR-106</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The solution's user interface shall respond reliably to a single, standard user interaction (e.g., one click or tap) for every interactive element. The solution shall not require a user to repeat a click or first establish focus through an unrelated action before an element responds — a defect present in the incumbent LTS application that this remake shall not reproduce.</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TR-107</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Vendor's technology stack shall be currently supported by its maintainer or publisher, with no component that has reached end-of-life or end-of-support as of proposal submission.</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bl>
    <w:p w:rsidR="008F1637" w:rsidRDefault="00645877">
      <w:pPr>
        <w:pStyle w:val="Heading2"/>
      </w:pPr>
      <w:r>
        <w:rPr>
          <w:b/>
          <w:bCs/>
          <w:color w:val="1F3864"/>
          <w:sz w:val="24"/>
          <w:szCs w:val="24"/>
        </w:rPr>
        <w:t>4.</w:t>
      </w:r>
      <w:r w:rsidR="008615EF">
        <w:rPr>
          <w:b/>
          <w:bCs/>
          <w:color w:val="1F3864"/>
          <w:sz w:val="24"/>
          <w:szCs w:val="24"/>
        </w:rPr>
        <w:t>2</w:t>
      </w:r>
      <w:r>
        <w:rPr>
          <w:b/>
          <w:bCs/>
          <w:color w:val="1F3864"/>
          <w:sz w:val="24"/>
          <w:szCs w:val="24"/>
        </w:rPr>
        <w:t xml:space="preserve">  Hosting, Infrastructure &amp; Environment Management</w:t>
      </w:r>
    </w:p>
    <w:p w:rsidR="008F1637" w:rsidRDefault="00645877">
      <w:pPr>
        <w:spacing w:after="160" w:line="276" w:lineRule="auto"/>
      </w:pPr>
      <w:r>
        <w:rPr>
          <w:i/>
          <w:iCs/>
          <w:color w:val="000000"/>
        </w:rPr>
        <w:t>States environment and access requirements generically. Several requirements are conditional — “where DOR deploys” or “where Vendor hosts” — so a single requirement set covers whichever approach a proposal takes, rather than maintaining separate rules per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rsidTr="707D4F99">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rsidTr="707D4F99">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TR-201</w:t>
            </w:r>
          </w:p>
        </w:tc>
        <w:tc>
          <w:tcPr>
            <w:tcW w:w="7760" w:type="dxa"/>
            <w:shd w:val="clear" w:color="auto" w:fill="FFFFFF" w:themeFill="background2"/>
            <w:tcMar>
              <w:top w:w="80" w:type="dxa"/>
              <w:left w:w="100" w:type="dxa"/>
              <w:bottom w:w="80" w:type="dxa"/>
              <w:right w:w="100" w:type="dxa"/>
            </w:tcMar>
            <w:vAlign w:val="center"/>
          </w:tcPr>
          <w:p w:rsidR="008F1637" w:rsidRPr="00AE1ED6" w:rsidRDefault="00645877">
            <w:pPr>
              <w:rPr>
                <w:color w:val="000000"/>
                <w:sz w:val="19"/>
                <w:szCs w:val="19"/>
              </w:rPr>
            </w:pPr>
            <w:r>
              <w:rPr>
                <w:color w:val="000000"/>
                <w:sz w:val="19"/>
                <w:szCs w:val="19"/>
              </w:rPr>
              <w:t xml:space="preserve">The solution's hosting environment — whether owned by DOR or by Vendor — shall comply with </w:t>
            </w:r>
            <w:r w:rsidRPr="00E3651F">
              <w:rPr>
                <w:color w:val="000000"/>
                <w:sz w:val="19"/>
                <w:szCs w:val="19"/>
              </w:rPr>
              <w:t>WaTech Standard</w:t>
            </w:r>
            <w:r>
              <w:rPr>
                <w:color w:val="000000"/>
                <w:sz w:val="19"/>
                <w:szCs w:val="19"/>
              </w:rPr>
              <w:t xml:space="preserve"> </w:t>
            </w:r>
            <w:hyperlink r:id="rId12" w:history="1">
              <w:r w:rsidR="6F706CE9" w:rsidRPr="00E3651F">
                <w:rPr>
                  <w:color w:val="000000"/>
                  <w:sz w:val="19"/>
                  <w:szCs w:val="19"/>
                </w:rPr>
                <w:t>Washington State Cybersecurity Program Policy</w:t>
              </w:r>
            </w:hyperlink>
            <w:r w:rsidR="6F706CE9" w:rsidRPr="00AE1ED6">
              <w:rPr>
                <w:color w:val="000000"/>
                <w:sz w:val="19"/>
                <w:szCs w:val="19"/>
              </w:rPr>
              <w:t xml:space="preserve"> </w:t>
            </w:r>
            <w:r w:rsidRPr="00AE1ED6">
              <w:rPr>
                <w:color w:val="000000"/>
                <w:sz w:val="19"/>
                <w:szCs w:val="19"/>
              </w:rPr>
              <w:t>and, at minimum, the data-classification floor established in TR-308</w:t>
            </w:r>
            <w:r>
              <w:rPr>
                <w:color w:val="000000"/>
                <w:sz w:val="19"/>
                <w:szCs w:val="19"/>
              </w:rPr>
              <w:t>.</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TR-202</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 xml:space="preserve">Vendor shall describe who owns, deploys, and operates the hosting environment; how infrastructure is defined and changed (e.g., Infrastructure as Code); and how that arrangement gives DOR appropriate visibility, control, </w:t>
            </w:r>
            <w:r w:rsidR="005A2716">
              <w:rPr>
                <w:color w:val="000000"/>
                <w:sz w:val="19"/>
                <w:szCs w:val="19"/>
              </w:rPr>
              <w:t xml:space="preserve">aligns with security requirements </w:t>
            </w:r>
            <w:r>
              <w:rPr>
                <w:color w:val="000000"/>
                <w:sz w:val="19"/>
                <w:szCs w:val="19"/>
              </w:rPr>
              <w:t>and long-term supportability over the solution.</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707D4F99">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TR-204</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Vendor shall describe the access-control model governing the environment (e.g., least-privilege IAM roles within a customer-managed AWS Organization, or Vendor's internal access-governance practices for a Vendor-hosted environment) and confirm least-privilege principles are applied.</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S</w:t>
            </w:r>
          </w:p>
        </w:tc>
      </w:tr>
      <w:tr w:rsidR="008F1637" w:rsidTr="707D4F99">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TR-205</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Vendor shall describe its approach to cost management and resource tagging for cost allocation.</w:t>
            </w:r>
          </w:p>
        </w:tc>
        <w:tc>
          <w:tcPr>
            <w:tcW w:w="700" w:type="dxa"/>
            <w:shd w:val="clear" w:color="auto" w:fill="FFFFFF" w:themeFill="background2"/>
            <w:tcMar>
              <w:top w:w="80" w:type="dxa"/>
              <w:left w:w="100" w:type="dxa"/>
              <w:bottom w:w="80" w:type="dxa"/>
              <w:right w:w="100" w:type="dxa"/>
            </w:tcMar>
            <w:vAlign w:val="center"/>
          </w:tcPr>
          <w:p w:rsidR="008F1637" w:rsidRDefault="19ABCA90" w:rsidP="707D4F99">
            <w:pPr>
              <w:jc w:val="center"/>
              <w:rPr>
                <w:b/>
                <w:bCs/>
                <w:color w:val="000000"/>
                <w:sz w:val="19"/>
                <w:szCs w:val="19"/>
              </w:rPr>
            </w:pPr>
            <w:r w:rsidRPr="707D4F99">
              <w:rPr>
                <w:b/>
                <w:bCs/>
                <w:color w:val="000000"/>
                <w:sz w:val="19"/>
                <w:szCs w:val="19"/>
              </w:rPr>
              <w:t>S</w:t>
            </w:r>
          </w:p>
        </w:tc>
      </w:tr>
      <w:tr w:rsidR="008F1637" w:rsidTr="707D4F99">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TR-206</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Where DOR owns and provisions any infrastructure for this solution, Vendor shall have no standing or temporary access to it for any purpose — including deployment, troubleshooting, or support — and Vendor's own development and testing shall occur entirely within an environment Vendor owns and controls, using only synthetic or de-identified data (see TR-402).</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TR-207</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 xml:space="preserve">Where Vendor hosts the solution on an ongoing basis, Vendor's hosting environment shall maintain a current, independent security authorization appropriate to state government use — </w:t>
            </w:r>
            <w:proofErr w:type="spellStart"/>
            <w:r>
              <w:rPr>
                <w:color w:val="000000"/>
                <w:sz w:val="19"/>
                <w:szCs w:val="19"/>
              </w:rPr>
              <w:t>GovRAMP</w:t>
            </w:r>
            <w:proofErr w:type="spellEnd"/>
            <w:r>
              <w:rPr>
                <w:color w:val="000000"/>
                <w:sz w:val="19"/>
                <w:szCs w:val="19"/>
              </w:rPr>
              <w:t xml:space="preserve"> or FedRAMP Moderate, or an equivalent independently assessed framework — and Vendor shall disclose all </w:t>
            </w:r>
            <w:proofErr w:type="spellStart"/>
            <w:r>
              <w:rPr>
                <w:color w:val="000000"/>
                <w:sz w:val="19"/>
                <w:szCs w:val="19"/>
              </w:rPr>
              <w:t>subprocessors</w:t>
            </w:r>
            <w:proofErr w:type="spellEnd"/>
            <w:r>
              <w:rPr>
                <w:color w:val="000000"/>
                <w:sz w:val="19"/>
                <w:szCs w:val="19"/>
              </w:rPr>
              <w:t xml:space="preserve"> and data center locations, with advance notice of any change to either.</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TR-208</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Where Vendor hosts the solution on an ongoing basis, Vendor shall provide DOR a current third-party security audit report (e</w:t>
            </w:r>
            <w:r w:rsidRPr="00AE1ED6">
              <w:rPr>
                <w:color w:val="000000"/>
                <w:sz w:val="19"/>
                <w:szCs w:val="19"/>
              </w:rPr>
              <w:t>.g., SOC 2 Type II, or the audit artifact tied to TR-207's certification</w:t>
            </w:r>
            <w:r>
              <w:rPr>
                <w:color w:val="000000"/>
                <w:sz w:val="19"/>
                <w:szCs w:val="19"/>
              </w:rPr>
              <w:t xml:space="preserve">) at least </w:t>
            </w:r>
            <w:proofErr w:type="gramStart"/>
            <w:r>
              <w:rPr>
                <w:color w:val="000000"/>
                <w:sz w:val="19"/>
                <w:szCs w:val="19"/>
              </w:rPr>
              <w:t>annually, and</w:t>
            </w:r>
            <w:proofErr w:type="gramEnd"/>
            <w:r>
              <w:rPr>
                <w:color w:val="000000"/>
                <w:sz w:val="19"/>
                <w:szCs w:val="19"/>
              </w:rPr>
              <w:t xml:space="preserve"> shall support a DOR-conducted security review of the environment prior to go-live, remediating findings within an agreed timeframe. Where DOR instead deploys the solution itself, Vendor shall provide the design documentation and support DOR needs to complete its own WaTech Security Design Review prior to production deployment, remediating findings traced to Vendor-delivered code within an agreed timeframe.</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TR-209</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If Vendor's hosting environment is multi-tenant, Vendor shall describe the logical isolation controls preventing any other tenant from accessing DOR's data.</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MS</w:t>
            </w:r>
          </w:p>
        </w:tc>
      </w:tr>
    </w:tbl>
    <w:p w:rsidR="008F1637" w:rsidRPr="00522460" w:rsidRDefault="00645877">
      <w:pPr>
        <w:pStyle w:val="Heading2"/>
        <w:rPr>
          <w:b/>
          <w:bCs/>
          <w:color w:val="1F3864"/>
          <w:sz w:val="24"/>
          <w:szCs w:val="24"/>
        </w:rPr>
      </w:pPr>
      <w:r w:rsidRPr="29FBF055">
        <w:rPr>
          <w:b/>
          <w:bCs/>
          <w:color w:val="1F3864"/>
          <w:sz w:val="24"/>
          <w:szCs w:val="24"/>
        </w:rPr>
        <w:t>4.</w:t>
      </w:r>
      <w:r w:rsidR="00522460" w:rsidRPr="29FBF055">
        <w:rPr>
          <w:b/>
          <w:bCs/>
          <w:color w:val="1F3864"/>
          <w:sz w:val="24"/>
          <w:szCs w:val="24"/>
        </w:rPr>
        <w:t>4</w:t>
      </w:r>
      <w:r w:rsidR="00CD7F28">
        <w:rPr>
          <w:b/>
          <w:bCs/>
          <w:color w:val="1F3864"/>
          <w:sz w:val="24"/>
          <w:szCs w:val="24"/>
        </w:rPr>
        <w:t>3</w:t>
      </w:r>
      <w:r w:rsidRPr="29FBF055">
        <w:rPr>
          <w:b/>
          <w:bCs/>
          <w:color w:val="1F3864"/>
          <w:sz w:val="24"/>
          <w:szCs w:val="24"/>
        </w:rPr>
        <w:t xml:space="preserve"> Security &amp; Identity</w:t>
      </w:r>
    </w:p>
    <w:p w:rsidR="008F1637" w:rsidRDefault="00645877">
      <w:pPr>
        <w:spacing w:after="160" w:line="276" w:lineRule="auto"/>
      </w:pPr>
      <w:r>
        <w:rPr>
          <w:i/>
          <w:iCs/>
          <w:color w:val="000000"/>
        </w:rPr>
        <w:t>Applies uniformly regardless of delivery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rsidTr="27886050">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rsidTr="27886050">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TR-301</w:t>
            </w:r>
          </w:p>
        </w:tc>
        <w:tc>
          <w:tcPr>
            <w:tcW w:w="7760" w:type="dxa"/>
            <w:shd w:val="clear" w:color="auto" w:fill="FFFFFF" w:themeFill="background2"/>
            <w:tcMar>
              <w:top w:w="80" w:type="dxa"/>
              <w:left w:w="100" w:type="dxa"/>
              <w:bottom w:w="80" w:type="dxa"/>
              <w:right w:w="100" w:type="dxa"/>
            </w:tcMar>
            <w:vAlign w:val="center"/>
          </w:tcPr>
          <w:p w:rsidR="008F1637" w:rsidRDefault="00645877">
            <w:r w:rsidRPr="00AE1ED6">
              <w:rPr>
                <w:color w:val="000000"/>
                <w:sz w:val="19"/>
                <w:szCs w:val="19"/>
              </w:rPr>
              <w:t xml:space="preserve">The solution shall comply with WaTech </w:t>
            </w:r>
            <w:hyperlink r:id="rId13" w:history="1">
              <w:r w:rsidR="2A3662B1" w:rsidRPr="00AE1ED6">
                <w:rPr>
                  <w:color w:val="000000"/>
                  <w:sz w:val="19"/>
                  <w:szCs w:val="19"/>
                </w:rPr>
                <w:t>Washington State Cybersecurity Program Policy</w:t>
              </w:r>
            </w:hyperlink>
            <w:r w:rsidRPr="00AE1ED6">
              <w:rPr>
                <w:color w:val="000000"/>
                <w:sz w:val="19"/>
                <w:szCs w:val="19"/>
              </w:rPr>
              <w:t>, Securing Information Technology Assets, in full.</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27886050">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TR-302</w:t>
            </w:r>
          </w:p>
        </w:tc>
        <w:tc>
          <w:tcPr>
            <w:tcW w:w="7760" w:type="dxa"/>
            <w:shd w:val="clear" w:color="auto" w:fill="F2F2F2" w:themeFill="background2" w:themeFillShade="F2"/>
            <w:tcMar>
              <w:top w:w="80" w:type="dxa"/>
              <w:left w:w="100" w:type="dxa"/>
              <w:bottom w:w="80" w:type="dxa"/>
              <w:right w:w="100" w:type="dxa"/>
            </w:tcMar>
            <w:vAlign w:val="center"/>
          </w:tcPr>
          <w:p w:rsidR="008F1637" w:rsidRPr="003E090B" w:rsidRDefault="00645877">
            <w:pPr>
              <w:rPr>
                <w:highlight w:val="yellow"/>
              </w:rPr>
            </w:pPr>
            <w:r w:rsidRPr="00AE1ED6">
              <w:rPr>
                <w:color w:val="000000"/>
                <w:sz w:val="19"/>
                <w:szCs w:val="19"/>
              </w:rPr>
              <w:t>All data in transit shall be encrypted using TLS 1.2 or higher. All data at rest shall be encrypted using AES-256 or another NIST-validated cryptographic module.</w:t>
            </w:r>
            <w:r w:rsidR="08AE8875" w:rsidRPr="00AE1ED6">
              <w:rPr>
                <w:color w:val="000000"/>
                <w:sz w:val="19"/>
                <w:szCs w:val="19"/>
              </w:rPr>
              <w:t xml:space="preserve"> (Post Quantum </w:t>
            </w:r>
            <w:r w:rsidR="7C233D97" w:rsidRPr="00AE1ED6">
              <w:rPr>
                <w:color w:val="000000"/>
                <w:sz w:val="19"/>
                <w:szCs w:val="19"/>
              </w:rPr>
              <w:t xml:space="preserve">algorithms </w:t>
            </w:r>
            <w:r w:rsidR="4DB790E1" w:rsidRPr="00AE1ED6">
              <w:rPr>
                <w:color w:val="000000"/>
                <w:sz w:val="19"/>
                <w:szCs w:val="19"/>
              </w:rPr>
              <w:t>are</w:t>
            </w:r>
            <w:r w:rsidR="08AE8875" w:rsidRPr="00AE1ED6">
              <w:rPr>
                <w:color w:val="000000"/>
                <w:sz w:val="19"/>
                <w:szCs w:val="19"/>
              </w:rPr>
              <w:t xml:space="preserve"> preferred)</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27886050">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TR-303</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 xml:space="preserve">The solution shall integrate with DOR's identity provider — Microsoft Entra ID (Azure AD), consistent with the state's WaTech-managed tenant — </w:t>
            </w:r>
            <w:r w:rsidRPr="00AE1ED6">
              <w:rPr>
                <w:color w:val="000000"/>
                <w:sz w:val="19"/>
                <w:szCs w:val="19"/>
              </w:rPr>
              <w:t xml:space="preserve">via OpenID Connect </w:t>
            </w:r>
            <w:r w:rsidR="00500494" w:rsidRPr="00AE1ED6">
              <w:rPr>
                <w:color w:val="000000"/>
                <w:sz w:val="19"/>
                <w:szCs w:val="19"/>
              </w:rPr>
              <w:t>(preferred) or SAML</w:t>
            </w:r>
            <w:r w:rsidRPr="00AE1ED6">
              <w:rPr>
                <w:color w:val="000000"/>
                <w:sz w:val="19"/>
                <w:szCs w:val="19"/>
              </w:rPr>
              <w:t xml:space="preserve"> for</w:t>
            </w:r>
            <w:r>
              <w:rPr>
                <w:color w:val="000000"/>
                <w:sz w:val="19"/>
                <w:szCs w:val="19"/>
              </w:rPr>
              <w:t xml:space="preserve"> staff authentication. Vendor shall not implement a standalone or custom credential store for DOR staff accounts.</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27886050">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TR-304</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Vendor shall describe its secrets management approach (e.g., a managed secrets vault appropriate to Vendor's hosting platform) and shall confirm that no credentials, keys, or secrets will be hardcoded or committed to source control.</w:t>
            </w:r>
            <w:r w:rsidR="00385341">
              <w:rPr>
                <w:color w:val="000000"/>
                <w:sz w:val="19"/>
                <w:szCs w:val="19"/>
              </w:rPr>
              <w:t xml:space="preserve"> </w:t>
            </w:r>
            <w:r w:rsidR="00F400CC" w:rsidRPr="00F400CC">
              <w:rPr>
                <w:color w:val="000000"/>
                <w:sz w:val="19"/>
                <w:szCs w:val="19"/>
              </w:rPr>
              <w:t xml:space="preserve">DOR uses </w:t>
            </w:r>
            <w:r w:rsidR="00385341" w:rsidRPr="00385341">
              <w:rPr>
                <w:color w:val="000000"/>
                <w:sz w:val="19"/>
                <w:szCs w:val="19"/>
              </w:rPr>
              <w:t>Entra ID as an IdP and prefers OpenID Connect</w:t>
            </w:r>
            <w:r w:rsidR="00EC5938">
              <w:rPr>
                <w:color w:val="000000"/>
                <w:sz w:val="19"/>
                <w:szCs w:val="19"/>
              </w:rPr>
              <w:t>.</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27886050">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TR-305</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The solution shall enforce role-based access control (RBAC), aligned to least privilege, for all application-level user roles.</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27886050">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TR-306</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sidRPr="00AE1ED6">
              <w:rPr>
                <w:color w:val="000000"/>
                <w:sz w:val="19"/>
                <w:szCs w:val="19"/>
              </w:rPr>
              <w:t>Vendor shall describe its secure software development lifecycle (SSDLC) practices, including static/dynamic application security testing (SAST/DAST) tools used and automated dependency vulnerability scanning.</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S</w:t>
            </w:r>
          </w:p>
        </w:tc>
      </w:tr>
      <w:tr w:rsidR="008F1637" w:rsidTr="27886050">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TR-308</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All components of the solution shall be protected by a web application firewall and DDoS mitigation service appropriate to Vendor's hosting platform (e.g., AWS WAF and, at minimum, AWS Shield Standard, or an equivalent).</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27886050">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TR-309</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Role and permission provisioning shall be automated and behave identically across all environments. The solution shall not depend on manual, out-of-band permission grants that differ between environments — a gap present in the incumbent LTS application, where a given permission is auto-assigned in one environment but must be manually added in another — and this remake shall not reproduce it.</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27886050" w:rsidTr="27886050">
        <w:trPr>
          <w:trHeight w:val="300"/>
        </w:trPr>
        <w:tc>
          <w:tcPr>
            <w:tcW w:w="900" w:type="dxa"/>
            <w:shd w:val="clear" w:color="auto" w:fill="FFFFFF" w:themeFill="background2"/>
            <w:tcMar>
              <w:top w:w="80" w:type="dxa"/>
              <w:left w:w="100" w:type="dxa"/>
              <w:bottom w:w="80" w:type="dxa"/>
              <w:right w:w="100" w:type="dxa"/>
            </w:tcMar>
            <w:vAlign w:val="center"/>
          </w:tcPr>
          <w:p w:rsidR="55D6C860" w:rsidRDefault="55D6C860" w:rsidP="27886050">
            <w:pPr>
              <w:jc w:val="center"/>
            </w:pPr>
            <w:r w:rsidRPr="27886050">
              <w:rPr>
                <w:b/>
                <w:bCs/>
                <w:color w:val="000000"/>
                <w:sz w:val="19"/>
                <w:szCs w:val="19"/>
              </w:rPr>
              <w:t>TR-310</w:t>
            </w:r>
          </w:p>
        </w:tc>
        <w:tc>
          <w:tcPr>
            <w:tcW w:w="7760" w:type="dxa"/>
            <w:shd w:val="clear" w:color="auto" w:fill="FFFFFF" w:themeFill="background2"/>
            <w:tcMar>
              <w:top w:w="80" w:type="dxa"/>
              <w:left w:w="100" w:type="dxa"/>
              <w:bottom w:w="80" w:type="dxa"/>
              <w:right w:w="100" w:type="dxa"/>
            </w:tcMar>
            <w:vAlign w:val="center"/>
          </w:tcPr>
          <w:p w:rsidR="27886050" w:rsidRDefault="55D6C860" w:rsidP="00AE1ED6">
            <w:pPr>
              <w:spacing w:line="300" w:lineRule="auto"/>
              <w:rPr>
                <w:color w:val="000000"/>
                <w:sz w:val="19"/>
                <w:szCs w:val="19"/>
              </w:rPr>
            </w:pPr>
            <w:r w:rsidRPr="27886050">
              <w:rPr>
                <w:rFonts w:ascii="Segoe UI" w:eastAsia="Segoe UI" w:hAnsi="Segoe UI" w:cs="Segoe UI"/>
              </w:rPr>
              <w:t xml:space="preserve">The solution shall operate within a hosting environment that maintains one of the following recognized security certifications: </w:t>
            </w:r>
            <w:r w:rsidRPr="27886050">
              <w:rPr>
                <w:rFonts w:ascii="Segoe UI" w:eastAsia="Segoe UI" w:hAnsi="Segoe UI" w:cs="Segoe UI"/>
                <w:b/>
                <w:bCs/>
              </w:rPr>
              <w:t>ISO/IEC 27001</w:t>
            </w:r>
            <w:r w:rsidRPr="27886050">
              <w:rPr>
                <w:rFonts w:ascii="Segoe UI" w:eastAsia="Segoe UI" w:hAnsi="Segoe UI" w:cs="Segoe UI"/>
              </w:rPr>
              <w:t xml:space="preserve">, </w:t>
            </w:r>
            <w:r w:rsidRPr="27886050">
              <w:rPr>
                <w:rFonts w:ascii="Segoe UI" w:eastAsia="Segoe UI" w:hAnsi="Segoe UI" w:cs="Segoe UI"/>
                <w:b/>
                <w:bCs/>
              </w:rPr>
              <w:t>FedRAMP Moderate</w:t>
            </w:r>
            <w:r w:rsidRPr="27886050">
              <w:rPr>
                <w:rFonts w:ascii="Segoe UI" w:eastAsia="Segoe UI" w:hAnsi="Segoe UI" w:cs="Segoe UI"/>
              </w:rPr>
              <w:t xml:space="preserve">, or </w:t>
            </w:r>
            <w:r w:rsidRPr="27886050">
              <w:rPr>
                <w:rFonts w:ascii="Segoe UI" w:eastAsia="Segoe UI" w:hAnsi="Segoe UI" w:cs="Segoe UI"/>
                <w:b/>
                <w:bCs/>
              </w:rPr>
              <w:t>CSA STAR Level 2</w:t>
            </w:r>
            <w:r w:rsidRPr="27886050">
              <w:rPr>
                <w:rFonts w:ascii="Segoe UI" w:eastAsia="Segoe UI" w:hAnsi="Segoe UI" w:cs="Segoe UI"/>
              </w:rPr>
              <w:t>.</w:t>
            </w:r>
          </w:p>
        </w:tc>
        <w:tc>
          <w:tcPr>
            <w:tcW w:w="700" w:type="dxa"/>
            <w:shd w:val="clear" w:color="auto" w:fill="FFFFFF" w:themeFill="background2"/>
            <w:tcMar>
              <w:top w:w="80" w:type="dxa"/>
              <w:left w:w="100" w:type="dxa"/>
              <w:bottom w:w="80" w:type="dxa"/>
              <w:right w:w="100" w:type="dxa"/>
            </w:tcMar>
            <w:vAlign w:val="center"/>
          </w:tcPr>
          <w:p w:rsidR="55D6C860" w:rsidRDefault="55D6C860" w:rsidP="27886050">
            <w:pPr>
              <w:jc w:val="center"/>
            </w:pPr>
            <w:r w:rsidRPr="27886050">
              <w:rPr>
                <w:b/>
                <w:bCs/>
                <w:color w:val="000000"/>
                <w:sz w:val="19"/>
                <w:szCs w:val="19"/>
              </w:rPr>
              <w:t>M</w:t>
            </w:r>
          </w:p>
        </w:tc>
      </w:tr>
    </w:tbl>
    <w:p w:rsidR="008F1637" w:rsidRDefault="008F1637">
      <w:pPr>
        <w:spacing w:after="200"/>
      </w:pPr>
    </w:p>
    <w:p w:rsidR="008F1637" w:rsidRDefault="00645877">
      <w:pPr>
        <w:pStyle w:val="Heading2"/>
      </w:pPr>
      <w:r>
        <w:rPr>
          <w:b/>
          <w:bCs/>
          <w:color w:val="1F3864"/>
          <w:sz w:val="24"/>
          <w:szCs w:val="24"/>
        </w:rPr>
        <w:t>4.</w:t>
      </w:r>
      <w:r w:rsidR="00CD7F28">
        <w:rPr>
          <w:b/>
          <w:bCs/>
          <w:color w:val="1F3864"/>
          <w:sz w:val="24"/>
          <w:szCs w:val="24"/>
        </w:rPr>
        <w:t>4</w:t>
      </w:r>
      <w:r>
        <w:rPr>
          <w:b/>
          <w:bCs/>
          <w:color w:val="1F3864"/>
          <w:sz w:val="24"/>
          <w:szCs w:val="24"/>
        </w:rPr>
        <w:t xml:space="preserve">  Data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tc>
          <w:tcPr>
            <w:tcW w:w="900" w:type="dxa"/>
            <w:shd w:val="clear" w:color="auto" w:fill="F2F2F2"/>
            <w:tcMar>
              <w:top w:w="80" w:type="dxa"/>
              <w:left w:w="100" w:type="dxa"/>
              <w:bottom w:w="80" w:type="dxa"/>
              <w:right w:w="100" w:type="dxa"/>
            </w:tcMar>
            <w:vAlign w:val="center"/>
          </w:tcPr>
          <w:p w:rsidR="008F1637" w:rsidRPr="00AE1ED6" w:rsidRDefault="00645877">
            <w:pPr>
              <w:jc w:val="center"/>
            </w:pPr>
            <w:r w:rsidRPr="00AE1ED6">
              <w:rPr>
                <w:b/>
                <w:color w:val="000000"/>
                <w:sz w:val="19"/>
                <w:szCs w:val="19"/>
              </w:rPr>
              <w:t>TR-402</w:t>
            </w:r>
          </w:p>
        </w:tc>
        <w:tc>
          <w:tcPr>
            <w:tcW w:w="7760" w:type="dxa"/>
            <w:shd w:val="clear" w:color="auto" w:fill="F2F2F2"/>
            <w:tcMar>
              <w:top w:w="80" w:type="dxa"/>
              <w:left w:w="100" w:type="dxa"/>
              <w:bottom w:w="80" w:type="dxa"/>
              <w:right w:w="100" w:type="dxa"/>
            </w:tcMar>
            <w:vAlign w:val="center"/>
          </w:tcPr>
          <w:p w:rsidR="008F1637" w:rsidRPr="00AE1ED6" w:rsidRDefault="00645877">
            <w:r w:rsidRPr="00AE1ED6">
              <w:rPr>
                <w:color w:val="000000"/>
                <w:sz w:val="19"/>
                <w:szCs w:val="19"/>
              </w:rPr>
              <w:t xml:space="preserve">Where Vendor is never granted access to DOR's actual data (e.g., because DOR performs all deployment and operates independently), all development and testing data shall be synthetic or de-identified while remaining structurally representative of production data. Where Vendor's proposal instead involves Vendor </w:t>
            </w:r>
            <w:r w:rsidR="00D60E44" w:rsidRPr="00AE1ED6">
              <w:rPr>
                <w:color w:val="000000"/>
                <w:sz w:val="19"/>
                <w:szCs w:val="19"/>
              </w:rPr>
              <w:t xml:space="preserve">hosting </w:t>
            </w:r>
            <w:r w:rsidRPr="00AE1ED6">
              <w:rPr>
                <w:color w:val="000000"/>
                <w:sz w:val="19"/>
                <w:szCs w:val="19"/>
              </w:rPr>
              <w:t>DOR's live data on an ongoing basis, and Vendor shall execute any additional safeguard agreements DOR's IRS Safeguards liaison requires before go-live.</w:t>
            </w:r>
          </w:p>
        </w:tc>
        <w:tc>
          <w:tcPr>
            <w:tcW w:w="700" w:type="dxa"/>
            <w:shd w:val="clear" w:color="auto" w:fill="F2F2F2"/>
            <w:tcMar>
              <w:top w:w="80" w:type="dxa"/>
              <w:left w:w="100" w:type="dxa"/>
              <w:bottom w:w="80" w:type="dxa"/>
              <w:right w:w="100" w:type="dxa"/>
            </w:tcMar>
            <w:vAlign w:val="center"/>
          </w:tcPr>
          <w:p w:rsidR="008F1637" w:rsidRDefault="00645877">
            <w:pPr>
              <w:jc w:val="center"/>
            </w:pPr>
            <w:r w:rsidRPr="00AE1ED6">
              <w:rPr>
                <w:b/>
                <w:color w:val="000000"/>
                <w:sz w:val="19"/>
                <w:szCs w:val="19"/>
              </w:rPr>
              <w:t>MS</w:t>
            </w:r>
          </w:p>
        </w:tc>
      </w:tr>
      <w:tr w:rsidR="008F1637">
        <w:tc>
          <w:tcPr>
            <w:tcW w:w="9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TR-403</w:t>
            </w:r>
          </w:p>
        </w:tc>
        <w:tc>
          <w:tcPr>
            <w:tcW w:w="7760" w:type="dxa"/>
            <w:shd w:val="clear" w:color="auto" w:fill="FFFFFF"/>
            <w:tcMar>
              <w:top w:w="80" w:type="dxa"/>
              <w:left w:w="100" w:type="dxa"/>
              <w:bottom w:w="80" w:type="dxa"/>
              <w:right w:w="100" w:type="dxa"/>
            </w:tcMar>
            <w:vAlign w:val="center"/>
          </w:tcPr>
          <w:p w:rsidR="008F1637" w:rsidRDefault="00645877">
            <w:r>
              <w:rPr>
                <w:color w:val="000000"/>
                <w:sz w:val="19"/>
                <w:szCs w:val="19"/>
              </w:rPr>
              <w:t>The solution shall provide automated backups meeting a Recovery Point Objective (RPO) of no more than 4 hours and a Recovery Time Objective (RTO) of no more than 24 hours. Responsibility for meeting these targets follows whichever party operates the solution day to day.</w:t>
            </w:r>
          </w:p>
        </w:tc>
        <w:tc>
          <w:tcPr>
            <w:tcW w:w="7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tc>
          <w:tcPr>
            <w:tcW w:w="9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TR-404</w:t>
            </w:r>
          </w:p>
        </w:tc>
        <w:tc>
          <w:tcPr>
            <w:tcW w:w="7760" w:type="dxa"/>
            <w:shd w:val="clear" w:color="auto" w:fill="F2F2F2"/>
            <w:tcMar>
              <w:top w:w="80" w:type="dxa"/>
              <w:left w:w="100" w:type="dxa"/>
              <w:bottom w:w="80" w:type="dxa"/>
              <w:right w:w="100" w:type="dxa"/>
            </w:tcMar>
            <w:vAlign w:val="center"/>
          </w:tcPr>
          <w:p w:rsidR="008F1637" w:rsidRDefault="00645877">
            <w:r>
              <w:rPr>
                <w:color w:val="000000"/>
                <w:sz w:val="19"/>
                <w:szCs w:val="19"/>
              </w:rPr>
              <w:t>DOR data shall reside within data centers located in the continental United States. Vendor shall not replicate or process DOR data outside the continental U.S. without prior written DOR approval.</w:t>
            </w:r>
          </w:p>
        </w:tc>
        <w:tc>
          <w:tcPr>
            <w:tcW w:w="7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tc>
          <w:tcPr>
            <w:tcW w:w="9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TR-405</w:t>
            </w:r>
          </w:p>
        </w:tc>
        <w:tc>
          <w:tcPr>
            <w:tcW w:w="7760" w:type="dxa"/>
            <w:shd w:val="clear" w:color="auto" w:fill="FFFFFF"/>
            <w:tcMar>
              <w:top w:w="80" w:type="dxa"/>
              <w:left w:w="100" w:type="dxa"/>
              <w:bottom w:w="80" w:type="dxa"/>
              <w:right w:w="100" w:type="dxa"/>
            </w:tcMar>
            <w:vAlign w:val="center"/>
          </w:tcPr>
          <w:p w:rsidR="008F1637" w:rsidRDefault="00645877">
            <w:r>
              <w:rPr>
                <w:color w:val="000000"/>
                <w:sz w:val="19"/>
                <w:szCs w:val="19"/>
              </w:rPr>
              <w:t>Vendor shall describe its data retention and secure deletion approach. At minimum, retention shall align with the applicable records series in the Washington State Government General Records Retention Schedule (SGGRRS), publicly searchable at sos.wa.gov/archives, and with DOR's agency-specific retention schedule where one applies.</w:t>
            </w:r>
          </w:p>
        </w:tc>
        <w:tc>
          <w:tcPr>
            <w:tcW w:w="7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S</w:t>
            </w:r>
          </w:p>
        </w:tc>
      </w:tr>
    </w:tbl>
    <w:p w:rsidR="008F1637" w:rsidRDefault="008F1637">
      <w:pPr>
        <w:spacing w:after="200"/>
      </w:pPr>
    </w:p>
    <w:p w:rsidR="008F1637" w:rsidRDefault="00645877">
      <w:pPr>
        <w:pStyle w:val="Heading2"/>
      </w:pPr>
      <w:r>
        <w:rPr>
          <w:b/>
          <w:bCs/>
          <w:color w:val="1F3864"/>
          <w:sz w:val="24"/>
          <w:szCs w:val="24"/>
        </w:rPr>
        <w:t>4.</w:t>
      </w:r>
      <w:r w:rsidR="00246672">
        <w:rPr>
          <w:b/>
          <w:bCs/>
          <w:color w:val="1F3864"/>
          <w:sz w:val="24"/>
          <w:szCs w:val="24"/>
        </w:rPr>
        <w:t>5</w:t>
      </w:r>
      <w:r>
        <w:rPr>
          <w:b/>
          <w:bCs/>
          <w:color w:val="1F3864"/>
          <w:sz w:val="24"/>
          <w:szCs w:val="24"/>
        </w:rPr>
        <w:t xml:space="preserve">  Accessibility</w:t>
      </w:r>
    </w:p>
    <w:p w:rsidR="008F1637" w:rsidRDefault="00645877">
      <w:pPr>
        <w:spacing w:after="160" w:line="276" w:lineRule="auto"/>
      </w:pPr>
      <w:r>
        <w:rPr>
          <w:i/>
          <w:iCs/>
          <w:color w:val="000000"/>
        </w:rPr>
        <w:t xml:space="preserve">Reflects </w:t>
      </w:r>
      <w:proofErr w:type="spellStart"/>
      <w:r>
        <w:rPr>
          <w:i/>
          <w:iCs/>
          <w:color w:val="000000"/>
        </w:rPr>
        <w:t>WaTech's</w:t>
      </w:r>
      <w:proofErr w:type="spellEnd"/>
      <w:r>
        <w:rPr>
          <w:i/>
          <w:iCs/>
          <w:color w:val="000000"/>
        </w:rPr>
        <w:t xml:space="preserve"> current, publicly published statewide digital accessibility standard. Applies identically regardless of delivery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tc>
          <w:tcPr>
            <w:tcW w:w="9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TR-501</w:t>
            </w:r>
          </w:p>
        </w:tc>
        <w:tc>
          <w:tcPr>
            <w:tcW w:w="7760" w:type="dxa"/>
            <w:shd w:val="clear" w:color="auto" w:fill="FFFFFF"/>
            <w:tcMar>
              <w:top w:w="80" w:type="dxa"/>
              <w:left w:w="100" w:type="dxa"/>
              <w:bottom w:w="80" w:type="dxa"/>
              <w:right w:w="100" w:type="dxa"/>
            </w:tcMar>
            <w:vAlign w:val="center"/>
          </w:tcPr>
          <w:p w:rsidR="008F1637" w:rsidRDefault="00645877">
            <w:r w:rsidRPr="00AE1ED6">
              <w:rPr>
                <w:color w:val="000000"/>
                <w:sz w:val="19"/>
                <w:szCs w:val="19"/>
              </w:rPr>
              <w:t xml:space="preserve">The solution shall conform to WCAG 2.2 Level AA, consistent with </w:t>
            </w:r>
            <w:proofErr w:type="spellStart"/>
            <w:r w:rsidRPr="00AE1ED6">
              <w:rPr>
                <w:color w:val="000000"/>
                <w:sz w:val="19"/>
                <w:szCs w:val="19"/>
              </w:rPr>
              <w:t>WaTech's</w:t>
            </w:r>
            <w:proofErr w:type="spellEnd"/>
            <w:r w:rsidRPr="00AE1ED6">
              <w:rPr>
                <w:color w:val="000000"/>
                <w:sz w:val="19"/>
                <w:szCs w:val="19"/>
              </w:rPr>
              <w:t xml:space="preserve"> Digital Accessibility Standard.</w:t>
            </w:r>
          </w:p>
        </w:tc>
        <w:tc>
          <w:tcPr>
            <w:tcW w:w="7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tc>
          <w:tcPr>
            <w:tcW w:w="9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TR-502</w:t>
            </w:r>
          </w:p>
        </w:tc>
        <w:tc>
          <w:tcPr>
            <w:tcW w:w="7760" w:type="dxa"/>
            <w:shd w:val="clear" w:color="auto" w:fill="F2F2F2"/>
            <w:tcMar>
              <w:top w:w="80" w:type="dxa"/>
              <w:left w:w="100" w:type="dxa"/>
              <w:bottom w:w="80" w:type="dxa"/>
              <w:right w:w="100" w:type="dxa"/>
            </w:tcMar>
            <w:vAlign w:val="center"/>
          </w:tcPr>
          <w:p w:rsidR="008F1637" w:rsidRDefault="00645877">
            <w:r>
              <w:rPr>
                <w:color w:val="000000"/>
                <w:sz w:val="19"/>
                <w:szCs w:val="19"/>
              </w:rPr>
              <w:t>Vendor shall provide an Accessibility Conformance Report (ACR) / VPAT prior to go-live.</w:t>
            </w:r>
          </w:p>
        </w:tc>
        <w:tc>
          <w:tcPr>
            <w:tcW w:w="7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tc>
          <w:tcPr>
            <w:tcW w:w="9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TR-503</w:t>
            </w:r>
          </w:p>
        </w:tc>
        <w:tc>
          <w:tcPr>
            <w:tcW w:w="7760" w:type="dxa"/>
            <w:shd w:val="clear" w:color="auto" w:fill="FFFFFF"/>
            <w:tcMar>
              <w:top w:w="80" w:type="dxa"/>
              <w:left w:w="100" w:type="dxa"/>
              <w:bottom w:w="80" w:type="dxa"/>
              <w:right w:w="100" w:type="dxa"/>
            </w:tcMar>
            <w:vAlign w:val="center"/>
          </w:tcPr>
          <w:p w:rsidR="008F1637" w:rsidRDefault="00645877">
            <w:r>
              <w:rPr>
                <w:color w:val="000000"/>
                <w:sz w:val="19"/>
                <w:szCs w:val="19"/>
              </w:rPr>
              <w:t>Vendor shall describe its accessibility testing methodology, including both automated scanning and manual/assistive-technology testing.</w:t>
            </w:r>
          </w:p>
        </w:tc>
        <w:tc>
          <w:tcPr>
            <w:tcW w:w="7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S</w:t>
            </w:r>
          </w:p>
        </w:tc>
      </w:tr>
    </w:tbl>
    <w:p w:rsidR="008F1637" w:rsidRDefault="008F1637">
      <w:pPr>
        <w:spacing w:after="200"/>
      </w:pPr>
    </w:p>
    <w:p w:rsidR="008F1637" w:rsidRDefault="00645877">
      <w:pPr>
        <w:pStyle w:val="Heading2"/>
      </w:pPr>
      <w:r>
        <w:rPr>
          <w:b/>
          <w:bCs/>
          <w:color w:val="1F3864"/>
          <w:sz w:val="24"/>
          <w:szCs w:val="24"/>
        </w:rPr>
        <w:t>4.</w:t>
      </w:r>
      <w:r w:rsidR="00246672">
        <w:rPr>
          <w:b/>
          <w:bCs/>
          <w:color w:val="1F3864"/>
          <w:sz w:val="24"/>
          <w:szCs w:val="24"/>
        </w:rPr>
        <w:t>6</w:t>
      </w:r>
      <w:r>
        <w:rPr>
          <w:b/>
          <w:bCs/>
          <w:color w:val="1F3864"/>
          <w:sz w:val="24"/>
          <w:szCs w:val="24"/>
        </w:rPr>
        <w:t xml:space="preserve">  Integration &amp; Interoperability</w:t>
      </w:r>
    </w:p>
    <w:p w:rsidR="008F1637" w:rsidRDefault="00645877">
      <w:pPr>
        <w:spacing w:after="160" w:line="276" w:lineRule="auto"/>
      </w:pPr>
      <w:r>
        <w:rPr>
          <w:i/>
          <w:iCs/>
          <w:color w:val="000000"/>
        </w:rPr>
        <w:t>Governs how the solution connects to other DOR systems. Applies identically regardless of delivery approach — BT and SharePoint integration are needed whether DOR or Vendor hosts the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rsidTr="38641A08">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sidRPr="38641A08">
              <w:rPr>
                <w:b/>
                <w:bCs/>
                <w:color w:val="FFFFFF" w:themeColor="background2"/>
                <w:sz w:val="19"/>
                <w:szCs w:val="19"/>
              </w:rPr>
              <w:t>Type</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TR-601</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The solution shall expose and/or consume integrations via well-documented, versioned RESTful APIs (or equivalent), using OAuth 2.0 for API authentication.</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C014D4" w:rsidTr="38641A08">
        <w:tc>
          <w:tcPr>
            <w:tcW w:w="900" w:type="dxa"/>
            <w:shd w:val="clear" w:color="auto" w:fill="F2F2F2" w:themeFill="background2" w:themeFillShade="F2"/>
            <w:tcMar>
              <w:top w:w="80" w:type="dxa"/>
              <w:left w:w="100" w:type="dxa"/>
              <w:bottom w:w="80" w:type="dxa"/>
              <w:right w:w="100" w:type="dxa"/>
            </w:tcMar>
            <w:vAlign w:val="center"/>
          </w:tcPr>
          <w:p w:rsidR="00C014D4" w:rsidRDefault="000F26E4">
            <w:pPr>
              <w:jc w:val="center"/>
              <w:rPr>
                <w:b/>
                <w:bCs/>
                <w:color w:val="000000"/>
                <w:sz w:val="19"/>
                <w:szCs w:val="19"/>
              </w:rPr>
            </w:pPr>
            <w:r>
              <w:rPr>
                <w:b/>
                <w:bCs/>
                <w:color w:val="000000"/>
                <w:sz w:val="19"/>
                <w:szCs w:val="19"/>
              </w:rPr>
              <w:t>xx-xxx</w:t>
            </w:r>
          </w:p>
        </w:tc>
        <w:tc>
          <w:tcPr>
            <w:tcW w:w="7760" w:type="dxa"/>
            <w:shd w:val="clear" w:color="auto" w:fill="F2F2F2" w:themeFill="background2" w:themeFillShade="F2"/>
            <w:tcMar>
              <w:top w:w="80" w:type="dxa"/>
              <w:left w:w="100" w:type="dxa"/>
              <w:bottom w:w="80" w:type="dxa"/>
              <w:right w:w="100" w:type="dxa"/>
            </w:tcMar>
            <w:vAlign w:val="center"/>
          </w:tcPr>
          <w:p w:rsidR="00C014D4" w:rsidRDefault="00C014D4">
            <w:pPr>
              <w:rPr>
                <w:color w:val="000000"/>
                <w:sz w:val="19"/>
                <w:szCs w:val="19"/>
              </w:rPr>
            </w:pPr>
            <w:r>
              <w:rPr>
                <w:color w:val="000000"/>
                <w:sz w:val="19"/>
                <w:szCs w:val="19"/>
              </w:rPr>
              <w:t>The solution will offer multi</w:t>
            </w:r>
            <w:r w:rsidR="00817338">
              <w:rPr>
                <w:color w:val="000000"/>
                <w:sz w:val="19"/>
                <w:szCs w:val="19"/>
              </w:rPr>
              <w:t>ple capabil</w:t>
            </w:r>
            <w:r w:rsidR="004D73F0">
              <w:rPr>
                <w:color w:val="000000"/>
                <w:sz w:val="19"/>
                <w:szCs w:val="19"/>
              </w:rPr>
              <w:t xml:space="preserve">ities </w:t>
            </w:r>
            <w:r w:rsidR="00774401">
              <w:rPr>
                <w:color w:val="000000"/>
                <w:sz w:val="19"/>
                <w:szCs w:val="19"/>
              </w:rPr>
              <w:t>(</w:t>
            </w:r>
            <w:r w:rsidR="00C627A6">
              <w:rPr>
                <w:color w:val="000000"/>
                <w:sz w:val="19"/>
                <w:szCs w:val="19"/>
              </w:rPr>
              <w:t xml:space="preserve">technologies and </w:t>
            </w:r>
            <w:r w:rsidR="0049321A">
              <w:rPr>
                <w:color w:val="000000"/>
                <w:sz w:val="19"/>
                <w:szCs w:val="19"/>
              </w:rPr>
              <w:t>mechanisms)</w:t>
            </w:r>
            <w:r w:rsidR="004D73F0">
              <w:rPr>
                <w:color w:val="000000"/>
                <w:sz w:val="19"/>
                <w:szCs w:val="19"/>
              </w:rPr>
              <w:t xml:space="preserve"> to share and consume data from external state systems which </w:t>
            </w:r>
            <w:proofErr w:type="gramStart"/>
            <w:r w:rsidR="004D73F0">
              <w:rPr>
                <w:color w:val="000000"/>
                <w:sz w:val="19"/>
                <w:szCs w:val="19"/>
              </w:rPr>
              <w:t>include</w:t>
            </w:r>
            <w:r w:rsidR="00507C7F">
              <w:rPr>
                <w:color w:val="000000"/>
                <w:sz w:val="19"/>
                <w:szCs w:val="19"/>
              </w:rPr>
              <w:t>s</w:t>
            </w:r>
            <w:r w:rsidR="004D73F0">
              <w:rPr>
                <w:color w:val="000000"/>
                <w:sz w:val="19"/>
                <w:szCs w:val="19"/>
              </w:rPr>
              <w:t>:</w:t>
            </w:r>
            <w:proofErr w:type="gramEnd"/>
            <w:r w:rsidR="004D73F0">
              <w:rPr>
                <w:color w:val="000000"/>
                <w:sz w:val="19"/>
                <w:szCs w:val="19"/>
              </w:rPr>
              <w:t xml:space="preserve"> </w:t>
            </w:r>
            <w:r w:rsidR="00F83379">
              <w:rPr>
                <w:color w:val="000000"/>
                <w:sz w:val="19"/>
                <w:szCs w:val="19"/>
              </w:rPr>
              <w:t>SOAP/REST web services,</w:t>
            </w:r>
            <w:r w:rsidR="00CD7358">
              <w:rPr>
                <w:color w:val="000000"/>
                <w:sz w:val="19"/>
                <w:szCs w:val="19"/>
              </w:rPr>
              <w:t xml:space="preserve"> XML</w:t>
            </w:r>
            <w:r w:rsidR="00DC4A5C">
              <w:rPr>
                <w:color w:val="000000"/>
                <w:sz w:val="19"/>
                <w:szCs w:val="19"/>
              </w:rPr>
              <w:t xml:space="preserve">, </w:t>
            </w:r>
            <w:r w:rsidR="00B06213">
              <w:rPr>
                <w:color w:val="000000"/>
                <w:sz w:val="19"/>
                <w:szCs w:val="19"/>
              </w:rPr>
              <w:t xml:space="preserve">CSV, </w:t>
            </w:r>
            <w:r w:rsidR="00DA6141">
              <w:rPr>
                <w:color w:val="000000"/>
                <w:sz w:val="19"/>
                <w:szCs w:val="19"/>
              </w:rPr>
              <w:t xml:space="preserve">MS </w:t>
            </w:r>
            <w:r w:rsidR="00164FE4">
              <w:rPr>
                <w:color w:val="000000"/>
                <w:sz w:val="19"/>
                <w:szCs w:val="19"/>
              </w:rPr>
              <w:t>SharePoint</w:t>
            </w:r>
            <w:r w:rsidR="00496586">
              <w:rPr>
                <w:color w:val="000000"/>
                <w:sz w:val="19"/>
                <w:szCs w:val="19"/>
              </w:rPr>
              <w:t>, data export</w:t>
            </w:r>
            <w:r w:rsidR="000828CB">
              <w:rPr>
                <w:color w:val="000000"/>
                <w:sz w:val="19"/>
                <w:szCs w:val="19"/>
              </w:rPr>
              <w:t xml:space="preserve"> and </w:t>
            </w:r>
            <w:r w:rsidR="00870396">
              <w:rPr>
                <w:color w:val="000000"/>
                <w:sz w:val="19"/>
                <w:szCs w:val="19"/>
              </w:rPr>
              <w:t xml:space="preserve">standard </w:t>
            </w:r>
            <w:r w:rsidR="00475225">
              <w:rPr>
                <w:color w:val="000000"/>
                <w:sz w:val="19"/>
                <w:szCs w:val="19"/>
              </w:rPr>
              <w:t>BI tools</w:t>
            </w:r>
            <w:r w:rsidR="00496586">
              <w:rPr>
                <w:color w:val="000000"/>
                <w:sz w:val="19"/>
                <w:szCs w:val="19"/>
              </w:rPr>
              <w:t>.</w:t>
            </w:r>
          </w:p>
        </w:tc>
        <w:tc>
          <w:tcPr>
            <w:tcW w:w="700" w:type="dxa"/>
            <w:shd w:val="clear" w:color="auto" w:fill="F2F2F2" w:themeFill="background2" w:themeFillShade="F2"/>
            <w:tcMar>
              <w:top w:w="80" w:type="dxa"/>
              <w:left w:w="100" w:type="dxa"/>
              <w:bottom w:w="80" w:type="dxa"/>
              <w:right w:w="100" w:type="dxa"/>
            </w:tcMar>
            <w:vAlign w:val="center"/>
          </w:tcPr>
          <w:p w:rsidR="00C014D4" w:rsidRDefault="00C014D4">
            <w:pPr>
              <w:jc w:val="center"/>
              <w:rPr>
                <w:b/>
                <w:bCs/>
                <w:color w:val="000000"/>
                <w:sz w:val="19"/>
                <w:szCs w:val="19"/>
              </w:rPr>
            </w:pP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TR-602</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sidRPr="0033616F">
              <w:rPr>
                <w:color w:val="000000"/>
                <w:sz w:val="19"/>
                <w:szCs w:val="19"/>
              </w:rPr>
              <w:t xml:space="preserve">The solution shall integrate with </w:t>
            </w:r>
            <w:r w:rsidR="005A6148" w:rsidRPr="0033616F">
              <w:rPr>
                <w:color w:val="000000"/>
                <w:sz w:val="19"/>
                <w:szCs w:val="19"/>
              </w:rPr>
              <w:t>multiple</w:t>
            </w:r>
            <w:r w:rsidRPr="0033616F">
              <w:rPr>
                <w:color w:val="000000"/>
                <w:sz w:val="19"/>
                <w:szCs w:val="19"/>
              </w:rPr>
              <w:t xml:space="preserve"> existing </w:t>
            </w:r>
            <w:proofErr w:type="gramStart"/>
            <w:r w:rsidRPr="0033616F">
              <w:rPr>
                <w:color w:val="000000"/>
                <w:sz w:val="19"/>
                <w:szCs w:val="19"/>
              </w:rPr>
              <w:t>system</w:t>
            </w:r>
            <w:proofErr w:type="gramEnd"/>
            <w:r w:rsidRPr="0033616F">
              <w:rPr>
                <w:color w:val="000000"/>
                <w:sz w:val="19"/>
                <w:szCs w:val="19"/>
              </w:rPr>
              <w:t xml:space="preserve"> of record</w:t>
            </w:r>
            <w:r w:rsidR="00133E52" w:rsidRPr="0033616F">
              <w:rPr>
                <w:color w:val="000000"/>
                <w:sz w:val="19"/>
                <w:szCs w:val="19"/>
              </w:rPr>
              <w:t>s</w:t>
            </w:r>
            <w:r w:rsidRPr="0033616F">
              <w:rPr>
                <w:color w:val="000000"/>
                <w:sz w:val="19"/>
                <w:szCs w:val="19"/>
              </w:rPr>
              <w:t xml:space="preserve"> </w:t>
            </w:r>
            <w:r w:rsidR="00473C27" w:rsidRPr="0033616F">
              <w:rPr>
                <w:color w:val="000000"/>
                <w:sz w:val="19"/>
                <w:szCs w:val="19"/>
              </w:rPr>
              <w:t>included i</w:t>
            </w:r>
            <w:r w:rsidRPr="0033616F">
              <w:rPr>
                <w:color w:val="000000"/>
                <w:sz w:val="19"/>
                <w:szCs w:val="19"/>
              </w:rPr>
              <w:t>n the System Integration Inventory attached to this RFP, using the protocol and data contract specified for each integration point in that attachment.</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TR-603</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 xml:space="preserve">Vendor shall describe its approach to API documentation (e.g., </w:t>
            </w:r>
            <w:proofErr w:type="spellStart"/>
            <w:r>
              <w:rPr>
                <w:color w:val="000000"/>
                <w:sz w:val="19"/>
                <w:szCs w:val="19"/>
              </w:rPr>
              <w:t>OpenAPI</w:t>
            </w:r>
            <w:proofErr w:type="spellEnd"/>
            <w:r>
              <w:rPr>
                <w:color w:val="000000"/>
                <w:sz w:val="19"/>
                <w:szCs w:val="19"/>
              </w:rPr>
              <w:t>/Swagger) and versioning strategy to support long-term maintainability.</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S</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TR-604</w:t>
            </w:r>
          </w:p>
        </w:tc>
        <w:tc>
          <w:tcPr>
            <w:tcW w:w="7760" w:type="dxa"/>
            <w:shd w:val="clear" w:color="auto" w:fill="F2F2F2" w:themeFill="background2" w:themeFillShade="F2"/>
            <w:tcMar>
              <w:top w:w="80" w:type="dxa"/>
              <w:left w:w="100" w:type="dxa"/>
              <w:bottom w:w="80" w:type="dxa"/>
              <w:right w:w="100" w:type="dxa"/>
            </w:tcMar>
            <w:vAlign w:val="center"/>
          </w:tcPr>
          <w:p w:rsidR="008F1637" w:rsidRPr="00AE1ED6" w:rsidRDefault="00645877">
            <w:r w:rsidRPr="00AE1ED6">
              <w:rPr>
                <w:color w:val="000000"/>
                <w:sz w:val="19"/>
                <w:szCs w:val="19"/>
              </w:rPr>
              <w:t>The solution shall integrate with DOR's SharePoint</w:t>
            </w:r>
            <w:r w:rsidR="00DD54E0" w:rsidRPr="00AE1ED6">
              <w:rPr>
                <w:color w:val="000000"/>
                <w:sz w:val="19"/>
                <w:szCs w:val="19"/>
              </w:rPr>
              <w:t xml:space="preserve"> (Microsoft 365</w:t>
            </w:r>
            <w:r w:rsidR="00400A72" w:rsidRPr="00AE1ED6">
              <w:rPr>
                <w:color w:val="000000"/>
                <w:sz w:val="19"/>
                <w:szCs w:val="19"/>
              </w:rPr>
              <w:t xml:space="preserve">, further known as </w:t>
            </w:r>
            <w:r w:rsidR="00E20EF0" w:rsidRPr="00AE1ED6">
              <w:rPr>
                <w:color w:val="000000"/>
                <w:sz w:val="19"/>
                <w:szCs w:val="19"/>
              </w:rPr>
              <w:t>M365</w:t>
            </w:r>
            <w:r w:rsidR="00DD54E0" w:rsidRPr="00AE1ED6">
              <w:rPr>
                <w:color w:val="000000"/>
                <w:sz w:val="19"/>
                <w:szCs w:val="19"/>
              </w:rPr>
              <w:t>)</w:t>
            </w:r>
            <w:r w:rsidRPr="00AE1ED6">
              <w:rPr>
                <w:color w:val="000000"/>
                <w:sz w:val="19"/>
                <w:szCs w:val="19"/>
              </w:rPr>
              <w:t xml:space="preserve"> environment for </w:t>
            </w:r>
            <w:r w:rsidR="00A95906" w:rsidRPr="00AE1ED6">
              <w:rPr>
                <w:color w:val="000000"/>
                <w:sz w:val="19"/>
                <w:szCs w:val="19"/>
              </w:rPr>
              <w:t xml:space="preserve">file </w:t>
            </w:r>
            <w:r w:rsidRPr="00AE1ED6">
              <w:rPr>
                <w:color w:val="000000"/>
                <w:sz w:val="19"/>
                <w:szCs w:val="19"/>
              </w:rPr>
              <w:t>storage and retrieval of documents associated with tracked legislation — including</w:t>
            </w:r>
            <w:r w:rsidR="00A95906" w:rsidRPr="00AE1ED6">
              <w:rPr>
                <w:color w:val="000000"/>
                <w:sz w:val="19"/>
                <w:szCs w:val="19"/>
              </w:rPr>
              <w:t xml:space="preserve"> but not limited to</w:t>
            </w:r>
            <w:r w:rsidRPr="00AE1ED6">
              <w:rPr>
                <w:color w:val="000000"/>
                <w:sz w:val="19"/>
                <w:szCs w:val="19"/>
              </w:rPr>
              <w:t xml:space="preserve"> bills, fiscal notes, fiscal estimates, bill analyses, policy notes, bill amendments, and bill text — using Entra ID (Azure AD) authentication consistent with TR-303.</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TR-605</w:t>
            </w:r>
          </w:p>
        </w:tc>
        <w:tc>
          <w:tcPr>
            <w:tcW w:w="7760" w:type="dxa"/>
            <w:shd w:val="clear" w:color="auto" w:fill="FFFFFF" w:themeFill="background2"/>
            <w:tcMar>
              <w:top w:w="80" w:type="dxa"/>
              <w:left w:w="100" w:type="dxa"/>
              <w:bottom w:w="80" w:type="dxa"/>
              <w:right w:w="100" w:type="dxa"/>
            </w:tcMar>
            <w:vAlign w:val="center"/>
          </w:tcPr>
          <w:p w:rsidR="008F1637" w:rsidRPr="00AE1ED6" w:rsidRDefault="00645877">
            <w:r w:rsidRPr="00AE1ED6">
              <w:rPr>
                <w:color w:val="000000"/>
                <w:sz w:val="19"/>
                <w:szCs w:val="19"/>
              </w:rPr>
              <w:t xml:space="preserve">Vendor shall describe how the solution's document interactions with </w:t>
            </w:r>
            <w:r w:rsidR="00E20EF0" w:rsidRPr="00AE1ED6">
              <w:rPr>
                <w:color w:val="000000"/>
                <w:sz w:val="19"/>
                <w:szCs w:val="19"/>
              </w:rPr>
              <w:t xml:space="preserve">the DOR M365 </w:t>
            </w:r>
            <w:r w:rsidRPr="00AE1ED6">
              <w:rPr>
                <w:color w:val="000000"/>
                <w:sz w:val="19"/>
                <w:szCs w:val="19"/>
              </w:rPr>
              <w:t>SharePoint (e.g., upload, retrieval, metadata association) are structured to remain resilient to transient SharePoint/Graph API throttling, consistent with the retry and backoff approach described under TR-1114.</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S</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TR-607</w:t>
            </w:r>
          </w:p>
        </w:tc>
        <w:tc>
          <w:tcPr>
            <w:tcW w:w="7760" w:type="dxa"/>
            <w:shd w:val="clear" w:color="auto" w:fill="FFFFFF" w:themeFill="background2"/>
            <w:tcMar>
              <w:top w:w="80" w:type="dxa"/>
              <w:left w:w="100" w:type="dxa"/>
              <w:bottom w:w="80" w:type="dxa"/>
              <w:right w:w="100" w:type="dxa"/>
            </w:tcMar>
            <w:vAlign w:val="center"/>
          </w:tcPr>
          <w:p w:rsidR="008F1637" w:rsidRPr="00AE1ED6" w:rsidRDefault="00645877">
            <w:r w:rsidRPr="00AE1ED6">
              <w:rPr>
                <w:color w:val="000000"/>
                <w:sz w:val="19"/>
                <w:szCs w:val="19"/>
              </w:rPr>
              <w:t>Vendor shall describe its approach</w:t>
            </w:r>
            <w:r w:rsidR="002D0ABC" w:rsidRPr="00AE1ED6">
              <w:rPr>
                <w:color w:val="000000"/>
                <w:sz w:val="19"/>
                <w:szCs w:val="19"/>
              </w:rPr>
              <w:t>/solutioning</w:t>
            </w:r>
            <w:r w:rsidRPr="00AE1ED6">
              <w:rPr>
                <w:color w:val="000000"/>
                <w:sz w:val="19"/>
                <w:szCs w:val="19"/>
              </w:rPr>
              <w:t xml:space="preserve"> to automating the SharePoint document-container provisioning (e.g., folder or library creation) needed </w:t>
            </w:r>
            <w:r w:rsidR="00F24CAF" w:rsidRPr="00AE1ED6">
              <w:rPr>
                <w:color w:val="000000"/>
                <w:sz w:val="19"/>
                <w:szCs w:val="19"/>
              </w:rPr>
              <w:t xml:space="preserve">prior to </w:t>
            </w:r>
            <w:r w:rsidRPr="00AE1ED6">
              <w:rPr>
                <w:color w:val="000000"/>
                <w:sz w:val="19"/>
                <w:szCs w:val="19"/>
              </w:rPr>
              <w:t>the start of a new legislative session, so that DOR is not dependent on a manual, email-based request to a SharePoint administrator before new bills can be created.</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S</w:t>
            </w:r>
          </w:p>
        </w:tc>
      </w:tr>
    </w:tbl>
    <w:p w:rsidR="008F1637" w:rsidRDefault="008F1637">
      <w:pPr>
        <w:spacing w:after="200"/>
      </w:pPr>
    </w:p>
    <w:p w:rsidR="008F1637" w:rsidRDefault="00645877" w:rsidP="00AE1ED6">
      <w:pPr>
        <w:spacing w:after="160" w:line="276" w:lineRule="auto"/>
      </w:pPr>
      <w:r>
        <w:rPr>
          <w:b/>
          <w:bCs/>
          <w:color w:val="1F3864"/>
          <w:sz w:val="24"/>
          <w:szCs w:val="24"/>
        </w:rPr>
        <w:t>4.</w:t>
      </w:r>
      <w:r w:rsidR="00246672">
        <w:rPr>
          <w:b/>
          <w:bCs/>
          <w:color w:val="1F3864"/>
          <w:sz w:val="24"/>
          <w:szCs w:val="24"/>
        </w:rPr>
        <w:t>7</w:t>
      </w:r>
      <w:r>
        <w:rPr>
          <w:b/>
          <w:bCs/>
          <w:color w:val="1F3864"/>
          <w:sz w:val="24"/>
          <w:szCs w:val="24"/>
        </w:rPr>
        <w:t xml:space="preserve">  Software Engineering &amp; Source Code Standards</w:t>
      </w:r>
    </w:p>
    <w:p w:rsidR="008F1637" w:rsidRDefault="00645877">
      <w:pPr>
        <w:spacing w:after="160" w:line="276" w:lineRule="auto"/>
      </w:pPr>
      <w:r>
        <w:rPr>
          <w:i/>
          <w:iCs/>
          <w:color w:val="000000"/>
        </w:rPr>
        <w:t>States source-code expectations generically</w:t>
      </w:r>
      <w:r w:rsidR="00AB7B46">
        <w:rPr>
          <w:i/>
          <w:iCs/>
          <w:color w:val="000000"/>
        </w:rPr>
        <w:t xml:space="preserve">, only if the response is to </w:t>
      </w:r>
      <w:r w:rsidR="00AD79ED">
        <w:rPr>
          <w:i/>
          <w:iCs/>
          <w:color w:val="000000"/>
        </w:rPr>
        <w:t xml:space="preserve">deliver a </w:t>
      </w:r>
      <w:proofErr w:type="gramStart"/>
      <w:r w:rsidR="00AD79ED">
        <w:t>Custom</w:t>
      </w:r>
      <w:proofErr w:type="gramEnd"/>
      <w:r w:rsidR="00AD79ED">
        <w:t xml:space="preserve">-Built </w:t>
      </w:r>
      <w:r w:rsidR="00290866">
        <w:t xml:space="preserve">service </w:t>
      </w:r>
      <w:r w:rsidR="00315839">
        <w:t>DOR-hosted</w:t>
      </w:r>
      <w:r>
        <w:rPr>
          <w:i/>
          <w:iCs/>
          <w:color w:val="000000"/>
        </w:rPr>
        <w:t>. The obligation to export code to DOR, and the option of escrow, are each written as a single conditional requirement rather than separate rules for separate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rsidTr="38641A08">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TR-701</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Vendor shall maintain source code in a Git-based version control system Vendor owns and controls. Where DOR is to take ownership of the code (Section 4.13), Vendor shall deliver complete exports — full commit history, branches, and tags — to DOR no less frequently than every 30 days throughout development and a final export at delivery, via a DOR-approved secure transfer method; DOR does not provide Vendor a shared repository.</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933202" w:rsidTr="38641A08">
        <w:tc>
          <w:tcPr>
            <w:tcW w:w="900" w:type="dxa"/>
            <w:shd w:val="clear" w:color="auto" w:fill="F2F2F2" w:themeFill="background2" w:themeFillShade="F2"/>
            <w:tcMar>
              <w:top w:w="80" w:type="dxa"/>
              <w:left w:w="100" w:type="dxa"/>
              <w:bottom w:w="80" w:type="dxa"/>
              <w:right w:w="100" w:type="dxa"/>
            </w:tcMar>
            <w:vAlign w:val="center"/>
          </w:tcPr>
          <w:p w:rsidR="00933202" w:rsidRDefault="00933202" w:rsidP="00E62FA4">
            <w:pPr>
              <w:jc w:val="center"/>
              <w:rPr>
                <w:b/>
                <w:bCs/>
                <w:color w:val="000000"/>
                <w:sz w:val="19"/>
                <w:szCs w:val="19"/>
              </w:rPr>
            </w:pPr>
            <w:r>
              <w:rPr>
                <w:b/>
                <w:bCs/>
                <w:color w:val="000000"/>
                <w:sz w:val="19"/>
                <w:szCs w:val="19"/>
              </w:rPr>
              <w:t>xx-xxx</w:t>
            </w:r>
          </w:p>
        </w:tc>
        <w:tc>
          <w:tcPr>
            <w:tcW w:w="7760" w:type="dxa"/>
            <w:shd w:val="clear" w:color="auto" w:fill="F2F2F2" w:themeFill="background2" w:themeFillShade="F2"/>
            <w:tcMar>
              <w:top w:w="80" w:type="dxa"/>
              <w:left w:w="100" w:type="dxa"/>
              <w:bottom w:w="80" w:type="dxa"/>
              <w:right w:w="100" w:type="dxa"/>
            </w:tcMar>
            <w:vAlign w:val="center"/>
          </w:tcPr>
          <w:p w:rsidR="00933202" w:rsidRPr="38641A08" w:rsidRDefault="00933202" w:rsidP="00933202">
            <w:pPr>
              <w:rPr>
                <w:color w:val="000000"/>
                <w:sz w:val="19"/>
                <w:szCs w:val="19"/>
              </w:rPr>
            </w:pPr>
            <w:r>
              <w:rPr>
                <w:color w:val="000000"/>
                <w:sz w:val="19"/>
                <w:szCs w:val="19"/>
              </w:rPr>
              <w:t>DOR prefers a solution built on C#/.NET where Vendor is proposing a new custom build. Vendor shall identify its technology stack regardless of approach and justify its long-term supportability and total cost of ownership.</w:t>
            </w:r>
          </w:p>
        </w:tc>
        <w:tc>
          <w:tcPr>
            <w:tcW w:w="700" w:type="dxa"/>
            <w:shd w:val="clear" w:color="auto" w:fill="F2F2F2" w:themeFill="background2" w:themeFillShade="F2"/>
            <w:tcMar>
              <w:top w:w="80" w:type="dxa"/>
              <w:left w:w="100" w:type="dxa"/>
              <w:bottom w:w="80" w:type="dxa"/>
              <w:right w:w="100" w:type="dxa"/>
            </w:tcMar>
            <w:vAlign w:val="center"/>
          </w:tcPr>
          <w:p w:rsidR="00933202" w:rsidRDefault="00FF31C3" w:rsidP="00933202">
            <w:pPr>
              <w:jc w:val="center"/>
              <w:rPr>
                <w:b/>
                <w:bCs/>
                <w:color w:val="000000"/>
                <w:sz w:val="19"/>
                <w:szCs w:val="19"/>
              </w:rPr>
            </w:pPr>
            <w:r>
              <w:rPr>
                <w:b/>
                <w:bCs/>
                <w:color w:val="000000"/>
                <w:sz w:val="19"/>
                <w:szCs w:val="19"/>
              </w:rPr>
              <w:t>S</w:t>
            </w:r>
          </w:p>
        </w:tc>
      </w:tr>
      <w:tr w:rsidR="003B6D62" w:rsidTr="38641A08">
        <w:tc>
          <w:tcPr>
            <w:tcW w:w="900" w:type="dxa"/>
            <w:shd w:val="clear" w:color="auto" w:fill="F2F2F2" w:themeFill="background2" w:themeFillShade="F2"/>
            <w:tcMar>
              <w:top w:w="80" w:type="dxa"/>
              <w:left w:w="100" w:type="dxa"/>
              <w:bottom w:w="80" w:type="dxa"/>
              <w:right w:w="100" w:type="dxa"/>
            </w:tcMar>
            <w:vAlign w:val="center"/>
          </w:tcPr>
          <w:p w:rsidR="003B6D62" w:rsidRDefault="00933202" w:rsidP="003B6D62">
            <w:pPr>
              <w:jc w:val="center"/>
              <w:rPr>
                <w:b/>
                <w:bCs/>
                <w:color w:val="000000"/>
                <w:sz w:val="19"/>
                <w:szCs w:val="19"/>
              </w:rPr>
            </w:pPr>
            <w:r>
              <w:rPr>
                <w:b/>
                <w:bCs/>
                <w:color w:val="000000"/>
                <w:sz w:val="19"/>
                <w:szCs w:val="19"/>
              </w:rPr>
              <w:t>xx-xxx</w:t>
            </w:r>
          </w:p>
        </w:tc>
        <w:tc>
          <w:tcPr>
            <w:tcW w:w="7760" w:type="dxa"/>
            <w:shd w:val="clear" w:color="auto" w:fill="F2F2F2" w:themeFill="background2" w:themeFillShade="F2"/>
            <w:tcMar>
              <w:top w:w="80" w:type="dxa"/>
              <w:left w:w="100" w:type="dxa"/>
              <w:bottom w:w="80" w:type="dxa"/>
              <w:right w:w="100" w:type="dxa"/>
            </w:tcMar>
            <w:vAlign w:val="center"/>
          </w:tcPr>
          <w:p w:rsidR="003B6D62" w:rsidRPr="38641A08" w:rsidRDefault="003B6D62" w:rsidP="003B6D62">
            <w:pPr>
              <w:rPr>
                <w:color w:val="000000"/>
                <w:sz w:val="19"/>
                <w:szCs w:val="19"/>
              </w:rPr>
            </w:pPr>
            <w:r>
              <w:rPr>
                <w:color w:val="000000"/>
                <w:sz w:val="19"/>
                <w:szCs w:val="19"/>
              </w:rPr>
              <w:t>Vendor shall describe its proposed architecture (e.g., layered architecture, microservices, or a configured COTS/SaaS platform) and justify its fit for the solution's scope, expected scale, and long-term supportability.</w:t>
            </w:r>
          </w:p>
        </w:tc>
        <w:tc>
          <w:tcPr>
            <w:tcW w:w="700" w:type="dxa"/>
            <w:shd w:val="clear" w:color="auto" w:fill="F2F2F2" w:themeFill="background2" w:themeFillShade="F2"/>
            <w:tcMar>
              <w:top w:w="80" w:type="dxa"/>
              <w:left w:w="100" w:type="dxa"/>
              <w:bottom w:w="80" w:type="dxa"/>
              <w:right w:w="100" w:type="dxa"/>
            </w:tcMar>
            <w:vAlign w:val="center"/>
          </w:tcPr>
          <w:p w:rsidR="003B6D62" w:rsidRDefault="00FF31C3" w:rsidP="003B6D62">
            <w:pPr>
              <w:jc w:val="center"/>
              <w:rPr>
                <w:b/>
                <w:bCs/>
                <w:color w:val="000000"/>
                <w:sz w:val="19"/>
                <w:szCs w:val="19"/>
              </w:rPr>
            </w:pPr>
            <w:r>
              <w:rPr>
                <w:b/>
                <w:bCs/>
                <w:color w:val="000000"/>
                <w:sz w:val="19"/>
                <w:szCs w:val="19"/>
              </w:rPr>
              <w:t>M</w:t>
            </w:r>
          </w:p>
        </w:tc>
      </w:tr>
      <w:tr w:rsidR="00933202" w:rsidTr="38641A08">
        <w:tc>
          <w:tcPr>
            <w:tcW w:w="900" w:type="dxa"/>
            <w:shd w:val="clear" w:color="auto" w:fill="F2F2F2" w:themeFill="background2" w:themeFillShade="F2"/>
            <w:tcMar>
              <w:top w:w="80" w:type="dxa"/>
              <w:left w:w="100" w:type="dxa"/>
              <w:bottom w:w="80" w:type="dxa"/>
              <w:right w:w="100" w:type="dxa"/>
            </w:tcMar>
            <w:vAlign w:val="center"/>
          </w:tcPr>
          <w:p w:rsidR="00933202" w:rsidRDefault="00933202" w:rsidP="00933202">
            <w:pPr>
              <w:jc w:val="center"/>
              <w:rPr>
                <w:b/>
                <w:bCs/>
                <w:color w:val="000000"/>
                <w:sz w:val="19"/>
                <w:szCs w:val="19"/>
              </w:rPr>
            </w:pPr>
            <w:r>
              <w:rPr>
                <w:b/>
                <w:bCs/>
                <w:color w:val="000000"/>
                <w:sz w:val="19"/>
                <w:szCs w:val="19"/>
              </w:rPr>
              <w:t>xx-xxx</w:t>
            </w:r>
          </w:p>
        </w:tc>
        <w:tc>
          <w:tcPr>
            <w:tcW w:w="7760" w:type="dxa"/>
            <w:shd w:val="clear" w:color="auto" w:fill="F2F2F2" w:themeFill="background2" w:themeFillShade="F2"/>
            <w:tcMar>
              <w:top w:w="80" w:type="dxa"/>
              <w:left w:w="100" w:type="dxa"/>
              <w:bottom w:w="80" w:type="dxa"/>
              <w:right w:w="100" w:type="dxa"/>
            </w:tcMar>
            <w:vAlign w:val="center"/>
          </w:tcPr>
          <w:p w:rsidR="00933202" w:rsidRPr="38641A08" w:rsidRDefault="00933202" w:rsidP="00933202">
            <w:pPr>
              <w:rPr>
                <w:color w:val="000000"/>
                <w:sz w:val="19"/>
                <w:szCs w:val="19"/>
              </w:rPr>
            </w:pPr>
            <w:r>
              <w:rPr>
                <w:color w:val="000000"/>
                <w:sz w:val="19"/>
                <w:szCs w:val="19"/>
              </w:rPr>
              <w:t>The environment shall maintain logically separate development, test, and production tiers, with no untested change deployed directly to production.</w:t>
            </w:r>
          </w:p>
        </w:tc>
        <w:tc>
          <w:tcPr>
            <w:tcW w:w="700" w:type="dxa"/>
            <w:shd w:val="clear" w:color="auto" w:fill="F2F2F2" w:themeFill="background2" w:themeFillShade="F2"/>
            <w:tcMar>
              <w:top w:w="80" w:type="dxa"/>
              <w:left w:w="100" w:type="dxa"/>
              <w:bottom w:w="80" w:type="dxa"/>
              <w:right w:w="100" w:type="dxa"/>
            </w:tcMar>
            <w:vAlign w:val="center"/>
          </w:tcPr>
          <w:p w:rsidR="00933202" w:rsidRDefault="00FF31C3" w:rsidP="00933202">
            <w:pPr>
              <w:jc w:val="center"/>
              <w:rPr>
                <w:b/>
                <w:bCs/>
                <w:color w:val="000000"/>
                <w:sz w:val="19"/>
                <w:szCs w:val="19"/>
              </w:rPr>
            </w:pPr>
            <w:r>
              <w:rPr>
                <w:b/>
                <w:bCs/>
                <w:color w:val="000000"/>
                <w:sz w:val="19"/>
                <w:szCs w:val="19"/>
              </w:rPr>
              <w:t>MS</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TR-702</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sidRPr="38641A08">
              <w:rPr>
                <w:color w:val="000000"/>
                <w:sz w:val="19"/>
                <w:szCs w:val="19"/>
              </w:rPr>
              <w:t>Vendor shall document and enforce a coding standard appropriate to its chosen technology stack (e.g., Microsoft's C# conventions, or an equivalent for another language), including automated linting/static analysis.</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S</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TR-703</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All code shall be peer-reviewed via pull/merge request prior to merging into the main branch. Vendor shall describe its code review process.</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TR-704</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Vendor shall describe its approach to technical debt management and code quality metrics (e.g., automated test coverage, cyclomatic complexity) maintained and reported throughout development.</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S</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TR-705</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Where Vendor retains ownership and hosts the solution's code, Vendor shall describe whether it will place a current copy of the source code (and, where applicable, DOR-specific configuration) into a mutually agreed software escrow arrangement, released to DOR upon Vendor's material breach, insolvency, or failure to maintain the service.</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15527A" w:rsidTr="38641A08">
        <w:tc>
          <w:tcPr>
            <w:tcW w:w="900" w:type="dxa"/>
            <w:shd w:val="clear" w:color="auto" w:fill="FFFFFF" w:themeFill="background2"/>
            <w:tcMar>
              <w:top w:w="80" w:type="dxa"/>
              <w:left w:w="100" w:type="dxa"/>
              <w:bottom w:w="80" w:type="dxa"/>
              <w:right w:w="100" w:type="dxa"/>
            </w:tcMar>
            <w:vAlign w:val="center"/>
          </w:tcPr>
          <w:p w:rsidR="0015527A" w:rsidRDefault="0015527A" w:rsidP="0015527A">
            <w:pPr>
              <w:jc w:val="center"/>
              <w:rPr>
                <w:b/>
                <w:bCs/>
                <w:color w:val="000000"/>
                <w:sz w:val="19"/>
                <w:szCs w:val="19"/>
              </w:rPr>
            </w:pPr>
            <w:r>
              <w:rPr>
                <w:b/>
                <w:bCs/>
                <w:color w:val="000000"/>
                <w:sz w:val="19"/>
                <w:szCs w:val="19"/>
              </w:rPr>
              <w:t>TR-801</w:t>
            </w:r>
          </w:p>
        </w:tc>
        <w:tc>
          <w:tcPr>
            <w:tcW w:w="7760" w:type="dxa"/>
            <w:shd w:val="clear" w:color="auto" w:fill="FFFFFF" w:themeFill="background2"/>
            <w:tcMar>
              <w:top w:w="80" w:type="dxa"/>
              <w:left w:w="100" w:type="dxa"/>
              <w:bottom w:w="80" w:type="dxa"/>
              <w:right w:w="100" w:type="dxa"/>
            </w:tcMar>
            <w:vAlign w:val="center"/>
          </w:tcPr>
          <w:p w:rsidR="0015527A" w:rsidRDefault="0015527A" w:rsidP="0015527A">
            <w:pPr>
              <w:rPr>
                <w:color w:val="000000"/>
                <w:sz w:val="19"/>
                <w:szCs w:val="19"/>
              </w:rPr>
            </w:pPr>
            <w:r>
              <w:rPr>
                <w:color w:val="000000"/>
                <w:sz w:val="19"/>
                <w:szCs w:val="19"/>
              </w:rPr>
              <w:t>All builds and deployments shall be performed through an automated CI/CD pipeline, regardless of who operates it. Manual production deployments are not permitted except under documented emergency conditions.</w:t>
            </w:r>
          </w:p>
        </w:tc>
        <w:tc>
          <w:tcPr>
            <w:tcW w:w="700" w:type="dxa"/>
            <w:shd w:val="clear" w:color="auto" w:fill="FFFFFF" w:themeFill="background2"/>
            <w:tcMar>
              <w:top w:w="80" w:type="dxa"/>
              <w:left w:w="100" w:type="dxa"/>
              <w:bottom w:w="80" w:type="dxa"/>
              <w:right w:w="100" w:type="dxa"/>
            </w:tcMar>
            <w:vAlign w:val="center"/>
          </w:tcPr>
          <w:p w:rsidR="0015527A" w:rsidRDefault="0015527A" w:rsidP="0015527A">
            <w:pPr>
              <w:jc w:val="center"/>
              <w:rPr>
                <w:b/>
                <w:bCs/>
                <w:color w:val="000000"/>
                <w:sz w:val="19"/>
                <w:szCs w:val="19"/>
              </w:rPr>
            </w:pPr>
            <w:r>
              <w:rPr>
                <w:b/>
                <w:bCs/>
                <w:color w:val="000000"/>
                <w:sz w:val="19"/>
                <w:szCs w:val="19"/>
              </w:rPr>
              <w:t>M</w:t>
            </w:r>
          </w:p>
        </w:tc>
      </w:tr>
      <w:tr w:rsidR="0015527A" w:rsidTr="38641A08">
        <w:tc>
          <w:tcPr>
            <w:tcW w:w="900" w:type="dxa"/>
            <w:shd w:val="clear" w:color="auto" w:fill="FFFFFF" w:themeFill="background2"/>
            <w:tcMar>
              <w:top w:w="80" w:type="dxa"/>
              <w:left w:w="100" w:type="dxa"/>
              <w:bottom w:w="80" w:type="dxa"/>
              <w:right w:w="100" w:type="dxa"/>
            </w:tcMar>
            <w:vAlign w:val="center"/>
          </w:tcPr>
          <w:p w:rsidR="0015527A" w:rsidRDefault="0015527A" w:rsidP="0015527A">
            <w:pPr>
              <w:jc w:val="center"/>
              <w:rPr>
                <w:b/>
                <w:bCs/>
                <w:color w:val="000000"/>
                <w:sz w:val="19"/>
                <w:szCs w:val="19"/>
              </w:rPr>
            </w:pPr>
            <w:r>
              <w:rPr>
                <w:b/>
                <w:bCs/>
                <w:color w:val="000000"/>
                <w:sz w:val="19"/>
                <w:szCs w:val="19"/>
              </w:rPr>
              <w:t>TR-802</w:t>
            </w:r>
          </w:p>
        </w:tc>
        <w:tc>
          <w:tcPr>
            <w:tcW w:w="7760" w:type="dxa"/>
            <w:shd w:val="clear" w:color="auto" w:fill="FFFFFF" w:themeFill="background2"/>
            <w:tcMar>
              <w:top w:w="80" w:type="dxa"/>
              <w:left w:w="100" w:type="dxa"/>
              <w:bottom w:w="80" w:type="dxa"/>
              <w:right w:w="100" w:type="dxa"/>
            </w:tcMar>
            <w:vAlign w:val="center"/>
          </w:tcPr>
          <w:p w:rsidR="0015527A" w:rsidRDefault="0015527A" w:rsidP="0015527A">
            <w:pPr>
              <w:rPr>
                <w:color w:val="000000"/>
                <w:sz w:val="19"/>
                <w:szCs w:val="19"/>
              </w:rPr>
            </w:pPr>
            <w:r>
              <w:rPr>
                <w:color w:val="000000"/>
                <w:sz w:val="19"/>
                <w:szCs w:val="19"/>
              </w:rPr>
              <w:t xml:space="preserve">Vendor shall describe its CI/CD pipeline and tooling, including automated testing gates. Where DOR </w:t>
            </w:r>
            <w:r w:rsidR="004A1FB7">
              <w:rPr>
                <w:color w:val="000000"/>
                <w:sz w:val="19"/>
                <w:szCs w:val="19"/>
              </w:rPr>
              <w:t>operates</w:t>
            </w:r>
            <w:r>
              <w:rPr>
                <w:color w:val="000000"/>
                <w:sz w:val="19"/>
                <w:szCs w:val="19"/>
              </w:rPr>
              <w:t xml:space="preserve"> the pipeline after delivery, Vendor shall deliver the pipeline definition as code, compatible with DOR's environment, for DOR to run without Vendor involvement.</w:t>
            </w:r>
          </w:p>
        </w:tc>
        <w:tc>
          <w:tcPr>
            <w:tcW w:w="700" w:type="dxa"/>
            <w:shd w:val="clear" w:color="auto" w:fill="FFFFFF" w:themeFill="background2"/>
            <w:tcMar>
              <w:top w:w="80" w:type="dxa"/>
              <w:left w:w="100" w:type="dxa"/>
              <w:bottom w:w="80" w:type="dxa"/>
              <w:right w:w="100" w:type="dxa"/>
            </w:tcMar>
            <w:vAlign w:val="center"/>
          </w:tcPr>
          <w:p w:rsidR="0015527A" w:rsidRDefault="0015527A" w:rsidP="0015527A">
            <w:pPr>
              <w:jc w:val="center"/>
              <w:rPr>
                <w:b/>
                <w:bCs/>
                <w:color w:val="000000"/>
                <w:sz w:val="19"/>
                <w:szCs w:val="19"/>
              </w:rPr>
            </w:pPr>
            <w:r>
              <w:rPr>
                <w:b/>
                <w:bCs/>
                <w:color w:val="000000"/>
                <w:sz w:val="19"/>
                <w:szCs w:val="19"/>
              </w:rPr>
              <w:t>MS</w:t>
            </w:r>
          </w:p>
        </w:tc>
      </w:tr>
      <w:tr w:rsidR="00F507E7" w:rsidTr="38641A08">
        <w:tc>
          <w:tcPr>
            <w:tcW w:w="900" w:type="dxa"/>
            <w:shd w:val="clear" w:color="auto" w:fill="FFFFFF" w:themeFill="background2"/>
            <w:tcMar>
              <w:top w:w="80" w:type="dxa"/>
              <w:left w:w="100" w:type="dxa"/>
              <w:bottom w:w="80" w:type="dxa"/>
              <w:right w:w="100" w:type="dxa"/>
            </w:tcMar>
            <w:vAlign w:val="center"/>
          </w:tcPr>
          <w:p w:rsidR="00F507E7" w:rsidRDefault="00E62FA4" w:rsidP="00F507E7">
            <w:pPr>
              <w:jc w:val="center"/>
              <w:rPr>
                <w:b/>
                <w:bCs/>
                <w:color w:val="000000"/>
                <w:sz w:val="19"/>
                <w:szCs w:val="19"/>
              </w:rPr>
            </w:pPr>
            <w:r>
              <w:rPr>
                <w:b/>
                <w:bCs/>
                <w:color w:val="000000"/>
                <w:sz w:val="19"/>
                <w:szCs w:val="19"/>
              </w:rPr>
              <w:t>xx-xxx</w:t>
            </w:r>
          </w:p>
        </w:tc>
        <w:tc>
          <w:tcPr>
            <w:tcW w:w="7760" w:type="dxa"/>
            <w:shd w:val="clear" w:color="auto" w:fill="FFFFFF" w:themeFill="background2"/>
            <w:tcMar>
              <w:top w:w="80" w:type="dxa"/>
              <w:left w:w="100" w:type="dxa"/>
              <w:bottom w:w="80" w:type="dxa"/>
              <w:right w:w="100" w:type="dxa"/>
            </w:tcMar>
            <w:vAlign w:val="center"/>
          </w:tcPr>
          <w:p w:rsidR="00F507E7" w:rsidRDefault="00F507E7" w:rsidP="00F507E7">
            <w:pPr>
              <w:rPr>
                <w:color w:val="000000"/>
                <w:sz w:val="19"/>
                <w:szCs w:val="19"/>
              </w:rPr>
            </w:pPr>
            <w:r>
              <w:rPr>
                <w:color w:val="000000"/>
                <w:sz w:val="19"/>
                <w:szCs w:val="19"/>
              </w:rPr>
              <w:t>The environment shall maintain logically separate development, test, and production tiers, with no untested change deployed directly to production.</w:t>
            </w:r>
          </w:p>
        </w:tc>
        <w:tc>
          <w:tcPr>
            <w:tcW w:w="700" w:type="dxa"/>
            <w:shd w:val="clear" w:color="auto" w:fill="FFFFFF" w:themeFill="background2"/>
            <w:tcMar>
              <w:top w:w="80" w:type="dxa"/>
              <w:left w:w="100" w:type="dxa"/>
              <w:bottom w:w="80" w:type="dxa"/>
              <w:right w:w="100" w:type="dxa"/>
            </w:tcMar>
            <w:vAlign w:val="center"/>
          </w:tcPr>
          <w:p w:rsidR="00F507E7" w:rsidRDefault="008615EF" w:rsidP="00F507E7">
            <w:pPr>
              <w:jc w:val="center"/>
              <w:rPr>
                <w:b/>
                <w:bCs/>
                <w:color w:val="000000"/>
                <w:sz w:val="19"/>
                <w:szCs w:val="19"/>
              </w:rPr>
            </w:pPr>
            <w:r>
              <w:rPr>
                <w:b/>
                <w:bCs/>
                <w:color w:val="000000"/>
                <w:sz w:val="19"/>
                <w:szCs w:val="19"/>
              </w:rPr>
              <w:t>M</w:t>
            </w:r>
          </w:p>
        </w:tc>
      </w:tr>
    </w:tbl>
    <w:p w:rsidR="008F1637" w:rsidRDefault="008F1637">
      <w:pPr>
        <w:spacing w:after="200"/>
      </w:pPr>
    </w:p>
    <w:p w:rsidR="008F1637" w:rsidRDefault="00645877">
      <w:pPr>
        <w:pStyle w:val="Heading2"/>
      </w:pPr>
      <w:r>
        <w:rPr>
          <w:b/>
          <w:bCs/>
          <w:color w:val="1F3864"/>
          <w:sz w:val="24"/>
          <w:szCs w:val="24"/>
        </w:rPr>
        <w:t>4.</w:t>
      </w:r>
      <w:r w:rsidR="00246672">
        <w:rPr>
          <w:b/>
          <w:bCs/>
          <w:color w:val="1F3864"/>
          <w:sz w:val="24"/>
          <w:szCs w:val="24"/>
        </w:rPr>
        <w:t>8</w:t>
      </w:r>
      <w:r>
        <w:rPr>
          <w:b/>
          <w:bCs/>
          <w:color w:val="1F3864"/>
          <w:sz w:val="24"/>
          <w:szCs w:val="24"/>
        </w:rPr>
        <w:t xml:space="preserve">  DevOps, CI/CD &amp; Release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tc>
          <w:tcPr>
            <w:tcW w:w="9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TR-803</w:t>
            </w:r>
          </w:p>
        </w:tc>
        <w:tc>
          <w:tcPr>
            <w:tcW w:w="7760" w:type="dxa"/>
            <w:shd w:val="clear" w:color="auto" w:fill="FFFFFF"/>
            <w:tcMar>
              <w:top w:w="80" w:type="dxa"/>
              <w:left w:w="100" w:type="dxa"/>
              <w:bottom w:w="80" w:type="dxa"/>
              <w:right w:w="100" w:type="dxa"/>
            </w:tcMar>
            <w:vAlign w:val="center"/>
          </w:tcPr>
          <w:p w:rsidR="008F1637" w:rsidRDefault="00645877">
            <w:r>
              <w:rPr>
                <w:color w:val="000000"/>
                <w:sz w:val="19"/>
                <w:szCs w:val="19"/>
              </w:rPr>
              <w:t>Vendor shall maintain a documented change-management and release process, including advance notice to DOR of any release that could affect functionality, security posture, or data handling, and release notes for each production deployment.</w:t>
            </w:r>
          </w:p>
        </w:tc>
        <w:tc>
          <w:tcPr>
            <w:tcW w:w="7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tc>
          <w:tcPr>
            <w:tcW w:w="9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TR-804</w:t>
            </w:r>
          </w:p>
        </w:tc>
        <w:tc>
          <w:tcPr>
            <w:tcW w:w="7760" w:type="dxa"/>
            <w:shd w:val="clear" w:color="auto" w:fill="F2F2F2"/>
            <w:tcMar>
              <w:top w:w="80" w:type="dxa"/>
              <w:left w:w="100" w:type="dxa"/>
              <w:bottom w:w="80" w:type="dxa"/>
              <w:right w:w="100" w:type="dxa"/>
            </w:tcMar>
            <w:vAlign w:val="center"/>
          </w:tcPr>
          <w:p w:rsidR="008F1637" w:rsidRDefault="00645877">
            <w:r>
              <w:rPr>
                <w:color w:val="000000"/>
                <w:sz w:val="19"/>
                <w:szCs w:val="19"/>
              </w:rPr>
              <w:t>Vendor shall describe its recommended release and rollback strategy, including blue/green or canary deployment approaches where applicable.</w:t>
            </w:r>
          </w:p>
        </w:tc>
        <w:tc>
          <w:tcPr>
            <w:tcW w:w="7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S</w:t>
            </w:r>
          </w:p>
        </w:tc>
      </w:tr>
    </w:tbl>
    <w:p w:rsidR="008F1637" w:rsidRDefault="008F1637">
      <w:pPr>
        <w:spacing w:after="200"/>
      </w:pPr>
    </w:p>
    <w:p w:rsidR="008F1637" w:rsidRDefault="00645877">
      <w:pPr>
        <w:pStyle w:val="Heading2"/>
        <w:rPr>
          <w:b/>
          <w:bCs/>
          <w:color w:val="1F3864"/>
          <w:sz w:val="24"/>
          <w:szCs w:val="24"/>
        </w:rPr>
      </w:pPr>
      <w:r>
        <w:rPr>
          <w:b/>
          <w:bCs/>
          <w:color w:val="1F3864"/>
          <w:sz w:val="24"/>
          <w:szCs w:val="24"/>
        </w:rPr>
        <w:t>4.</w:t>
      </w:r>
      <w:r w:rsidR="00246672">
        <w:rPr>
          <w:b/>
          <w:bCs/>
          <w:color w:val="1F3864"/>
          <w:sz w:val="24"/>
          <w:szCs w:val="24"/>
        </w:rPr>
        <w:t>9</w:t>
      </w:r>
      <w:r>
        <w:rPr>
          <w:b/>
          <w:bCs/>
          <w:color w:val="1F3864"/>
          <w:sz w:val="24"/>
          <w:szCs w:val="24"/>
        </w:rPr>
        <w:t xml:space="preserve">  Testing &amp; Quality Assurance</w:t>
      </w:r>
    </w:p>
    <w:p w:rsidR="003C199D" w:rsidRDefault="00C16298" w:rsidP="003C199D">
      <w:pPr>
        <w:spacing w:after="160" w:line="276" w:lineRule="auto"/>
      </w:pPr>
      <w:r>
        <w:rPr>
          <w:i/>
          <w:iCs/>
          <w:color w:val="000000"/>
        </w:rPr>
        <w:t xml:space="preserve">The following </w:t>
      </w:r>
      <w:r w:rsidR="00226ED1">
        <w:rPr>
          <w:i/>
          <w:iCs/>
          <w:color w:val="000000"/>
        </w:rPr>
        <w:t xml:space="preserve">requirements are only required if the response is to deliver a </w:t>
      </w:r>
      <w:r w:rsidR="00226ED1">
        <w:t>Custom-Built service DOR-hosted</w:t>
      </w:r>
      <w:r w:rsidR="003C199D">
        <w:rPr>
          <w:i/>
          <w:iCs/>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rsidTr="707D4F99">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rsidTr="707D4F99">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TR-901</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Vendor shall deliver a documented test strategy covering unit, integration, system, and regression testing, explicitly identifying which activities occur in Vendor's environment and which occur in a DOR-facing environment.</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TR-902</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Vendor shall propose a minimum automated unit test coverage threshold and describe how it will be measured and reported to DOR throughout development.</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707D4F99">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TR-903</w:t>
            </w:r>
          </w:p>
        </w:tc>
        <w:tc>
          <w:tcPr>
            <w:tcW w:w="7760" w:type="dxa"/>
            <w:shd w:val="clear" w:color="auto" w:fill="FFFFFF" w:themeFill="background2"/>
            <w:tcMar>
              <w:top w:w="80" w:type="dxa"/>
              <w:left w:w="100" w:type="dxa"/>
              <w:bottom w:w="80" w:type="dxa"/>
              <w:right w:w="100" w:type="dxa"/>
            </w:tcMar>
            <w:vAlign w:val="center"/>
          </w:tcPr>
          <w:p w:rsidR="008F1637" w:rsidRDefault="19ABCA90">
            <w:r w:rsidRPr="707D4F99">
              <w:rPr>
                <w:color w:val="000000"/>
                <w:sz w:val="19"/>
                <w:szCs w:val="19"/>
              </w:rPr>
              <w:t>Vendor shall support User Acceptance Testing (UAT) conducted by DOR, in an environment appropriate to the proposed approach — DOR's own environment where DOR operates the solution, or a Vendor-provided staging environment where Vendor hosts it — using synthetic or de-identified data. Vendor shall triage and remediate defects DOR identifies, without requiring standing access to DOR's own environment or data to do so.</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TR-904</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Vendor shall describe its approach to performance/load testing, conducted using synthetic or non-production data prior to go-live.</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S</w:t>
            </w:r>
          </w:p>
        </w:tc>
      </w:tr>
    </w:tbl>
    <w:p w:rsidR="008F1637" w:rsidRDefault="008F1637">
      <w:pPr>
        <w:spacing w:after="200"/>
      </w:pPr>
    </w:p>
    <w:p w:rsidR="008F1637" w:rsidRDefault="00645877">
      <w:pPr>
        <w:pStyle w:val="Heading2"/>
      </w:pPr>
      <w:r>
        <w:rPr>
          <w:b/>
          <w:bCs/>
          <w:color w:val="1F3864"/>
          <w:sz w:val="24"/>
          <w:szCs w:val="24"/>
        </w:rPr>
        <w:t>4.1</w:t>
      </w:r>
      <w:r w:rsidR="00246672">
        <w:rPr>
          <w:b/>
          <w:bCs/>
          <w:color w:val="1F3864"/>
          <w:sz w:val="24"/>
          <w:szCs w:val="24"/>
        </w:rPr>
        <w:t>0</w:t>
      </w:r>
      <w:r>
        <w:rPr>
          <w:b/>
          <w:bCs/>
          <w:color w:val="1F3864"/>
          <w:sz w:val="24"/>
          <w:szCs w:val="24"/>
        </w:rPr>
        <w:t xml:space="preserve">  Monitoring, Logging &amp;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rsidTr="707D4F99">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rsidTr="707D4F99">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TR-1001</w:t>
            </w:r>
          </w:p>
        </w:tc>
        <w:tc>
          <w:tcPr>
            <w:tcW w:w="7760" w:type="dxa"/>
            <w:shd w:val="clear" w:color="auto" w:fill="FFFFFF" w:themeFill="background2"/>
            <w:tcMar>
              <w:top w:w="80" w:type="dxa"/>
              <w:left w:w="100" w:type="dxa"/>
              <w:bottom w:w="80" w:type="dxa"/>
              <w:right w:w="100" w:type="dxa"/>
            </w:tcMar>
            <w:vAlign w:val="center"/>
          </w:tcPr>
          <w:p w:rsidR="008F1637" w:rsidRDefault="19ABCA90" w:rsidP="707D4F99">
            <w:pPr>
              <w:rPr>
                <w:color w:val="000000"/>
                <w:sz w:val="19"/>
                <w:szCs w:val="19"/>
              </w:rPr>
            </w:pPr>
            <w:r w:rsidRPr="707D4F99">
              <w:rPr>
                <w:color w:val="000000"/>
                <w:sz w:val="19"/>
                <w:szCs w:val="19"/>
              </w:rPr>
              <w:t xml:space="preserve">The solution shall maintain centralized application and infrastructure logs sufficient to support </w:t>
            </w:r>
            <w:r w:rsidR="50759235" w:rsidRPr="707D4F99">
              <w:rPr>
                <w:color w:val="000000"/>
                <w:sz w:val="19"/>
                <w:szCs w:val="19"/>
              </w:rPr>
              <w:t xml:space="preserve">audit and </w:t>
            </w:r>
            <w:r w:rsidRPr="707D4F99">
              <w:rPr>
                <w:color w:val="000000"/>
                <w:sz w:val="19"/>
                <w:szCs w:val="19"/>
              </w:rPr>
              <w:t xml:space="preserve">troubleshooting. Where DOR operates the solution, these logs shall be directly accessible to DOR without Vendor involvement; where Vendor hosts the solution, Vendor shall provide DOR </w:t>
            </w:r>
            <w:r w:rsidR="004A1FB7" w:rsidRPr="707D4F99">
              <w:rPr>
                <w:color w:val="000000"/>
                <w:sz w:val="19"/>
                <w:szCs w:val="19"/>
              </w:rPr>
              <w:t>with</w:t>
            </w:r>
            <w:r w:rsidRPr="707D4F99">
              <w:rPr>
                <w:color w:val="000000"/>
                <w:sz w:val="19"/>
                <w:szCs w:val="19"/>
              </w:rPr>
              <w:t xml:space="preserve"> a mechanism (e.g., a reporting dashboard, exportable logs, or API access) to review relevant activity and security-relevant events.</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TR-1002</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The solution shall provide monitoring and alerting for critical system health indicators. Where DOR operates the solution, alert routing shall be configurable by DOR staff without Vendor involvement; where Vendor hosts the solution, Vendor shall notify DOR of critical incidents affecting availability or data integrity within a timeframe agreed with DOR.</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FFFFF" w:themeFill="background2"/>
            <w:tcMar>
              <w:top w:w="80" w:type="dxa"/>
              <w:left w:w="100" w:type="dxa"/>
              <w:bottom w:w="80" w:type="dxa"/>
              <w:right w:w="100" w:type="dxa"/>
            </w:tcMar>
            <w:vAlign w:val="center"/>
          </w:tcPr>
          <w:p w:rsidR="008F1637" w:rsidRPr="00AE1ED6" w:rsidRDefault="00645877">
            <w:pPr>
              <w:jc w:val="center"/>
            </w:pPr>
            <w:r w:rsidRPr="00AE1ED6">
              <w:rPr>
                <w:b/>
                <w:color w:val="000000"/>
                <w:sz w:val="19"/>
                <w:szCs w:val="19"/>
              </w:rPr>
              <w:t>TR-1003</w:t>
            </w:r>
          </w:p>
        </w:tc>
        <w:tc>
          <w:tcPr>
            <w:tcW w:w="7760" w:type="dxa"/>
            <w:shd w:val="clear" w:color="auto" w:fill="FFFFFF" w:themeFill="background2"/>
            <w:tcMar>
              <w:top w:w="80" w:type="dxa"/>
              <w:left w:w="100" w:type="dxa"/>
              <w:bottom w:w="80" w:type="dxa"/>
              <w:right w:w="100" w:type="dxa"/>
            </w:tcMar>
            <w:vAlign w:val="center"/>
          </w:tcPr>
          <w:p w:rsidR="008F1637" w:rsidRPr="00AE1ED6" w:rsidRDefault="00645877">
            <w:r w:rsidRPr="00AE1ED6">
              <w:rPr>
                <w:color w:val="000000"/>
                <w:sz w:val="19"/>
                <w:szCs w:val="19"/>
              </w:rPr>
              <w:t>Vendor shall describe its approach to distributed tracing and error tracking for the proposed architecture (e.g., AWS X-Ray or an equivalent tool).</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S</w:t>
            </w:r>
          </w:p>
        </w:tc>
      </w:tr>
      <w:tr w:rsidR="008F1637" w:rsidTr="707D4F99">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TR-1004</w:t>
            </w:r>
          </w:p>
        </w:tc>
        <w:tc>
          <w:tcPr>
            <w:tcW w:w="7760" w:type="dxa"/>
            <w:shd w:val="clear" w:color="auto" w:fill="F2F2F2" w:themeFill="background2" w:themeFillShade="F2"/>
            <w:tcMar>
              <w:top w:w="80" w:type="dxa"/>
              <w:left w:w="100" w:type="dxa"/>
              <w:bottom w:w="80" w:type="dxa"/>
              <w:right w:w="100" w:type="dxa"/>
            </w:tcMar>
            <w:vAlign w:val="center"/>
          </w:tcPr>
          <w:p w:rsidR="008F1637" w:rsidRPr="00AE1ED6" w:rsidRDefault="00645877">
            <w:pPr>
              <w:rPr>
                <w:color w:val="000000"/>
                <w:sz w:val="19"/>
                <w:szCs w:val="19"/>
              </w:rPr>
            </w:pPr>
            <w:r>
              <w:rPr>
                <w:color w:val="000000"/>
                <w:sz w:val="19"/>
                <w:szCs w:val="19"/>
              </w:rPr>
              <w:t xml:space="preserve">Audit logging shall capture, at minimum, authentication events, authorization failures, and changes to Category 3+ data, consistent </w:t>
            </w:r>
            <w:r w:rsidRPr="00AE1ED6">
              <w:rPr>
                <w:color w:val="000000"/>
                <w:sz w:val="19"/>
                <w:szCs w:val="19"/>
              </w:rPr>
              <w:t xml:space="preserve">with </w:t>
            </w:r>
            <w:r w:rsidR="512597CD" w:rsidRPr="00AE1ED6">
              <w:rPr>
                <w:color w:val="000000"/>
                <w:sz w:val="19"/>
                <w:szCs w:val="19"/>
              </w:rPr>
              <w:t>SEC-08</w:t>
            </w:r>
            <w:r w:rsidRPr="5C0D3D7F">
              <w:rPr>
                <w:color w:val="000000"/>
                <w:sz w:val="19"/>
                <w:szCs w:val="19"/>
              </w:rPr>
              <w:t xml:space="preserve"> </w:t>
            </w:r>
            <w:r>
              <w:rPr>
                <w:color w:val="000000"/>
                <w:sz w:val="19"/>
                <w:szCs w:val="19"/>
              </w:rPr>
              <w:t>logging expectations.</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bl>
    <w:p w:rsidR="008F1637" w:rsidRDefault="008F1637">
      <w:pPr>
        <w:spacing w:after="200"/>
      </w:pPr>
    </w:p>
    <w:p w:rsidR="008F1637" w:rsidRDefault="00645877">
      <w:pPr>
        <w:pStyle w:val="Heading2"/>
      </w:pPr>
      <w:r>
        <w:rPr>
          <w:b/>
          <w:bCs/>
          <w:color w:val="1F3864"/>
          <w:sz w:val="24"/>
          <w:szCs w:val="24"/>
        </w:rPr>
        <w:t>4.1</w:t>
      </w:r>
      <w:r w:rsidR="00246672">
        <w:rPr>
          <w:b/>
          <w:bCs/>
          <w:color w:val="1F3864"/>
          <w:sz w:val="24"/>
          <w:szCs w:val="24"/>
        </w:rPr>
        <w:t>1</w:t>
      </w:r>
      <w:r>
        <w:rPr>
          <w:b/>
          <w:bCs/>
          <w:color w:val="1F3864"/>
          <w:sz w:val="24"/>
          <w:szCs w:val="24"/>
        </w:rPr>
        <w:t xml:space="preserve">  Performance, Scalability, Capacity &amp; Resilience</w:t>
      </w:r>
    </w:p>
    <w:p w:rsidR="008F1637" w:rsidRDefault="00645877" w:rsidP="5F8F6464">
      <w:pPr>
        <w:spacing w:after="160" w:line="276" w:lineRule="auto"/>
        <w:rPr>
          <w:i/>
          <w:iCs/>
          <w:color w:val="000000"/>
        </w:rPr>
      </w:pPr>
      <w:r w:rsidRPr="5F8F6464">
        <w:rPr>
          <w:i/>
          <w:iCs/>
          <w:color w:val="000000"/>
        </w:rPr>
        <w:t>Covers latency, throughput, burst handling, rate limiting, and resilience. Applies identically regardless of delivery approach — these are user-experience and technical quality bars, not deployment mechanics. Several numeric targets moved from Mandatory to Mandatory Scored in this revision: DOR wants Vendor held to them, but until DOR confirms real figures (Section 5, Checklist Item 6), a flat pass/fail against a placeholder number is premature — the target is mandatory to address, and how well Vendor meets or exceeds it is scored.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rsidTr="38641A08">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TR-1101</w:t>
            </w:r>
          </w:p>
        </w:tc>
        <w:tc>
          <w:tcPr>
            <w:tcW w:w="7760" w:type="dxa"/>
            <w:shd w:val="clear" w:color="auto" w:fill="FFFFFF" w:themeFill="background2"/>
            <w:tcMar>
              <w:top w:w="80" w:type="dxa"/>
              <w:left w:w="100" w:type="dxa"/>
              <w:bottom w:w="80" w:type="dxa"/>
              <w:right w:w="100" w:type="dxa"/>
            </w:tcMar>
            <w:vAlign w:val="center"/>
          </w:tcPr>
          <w:p w:rsidR="008F1637" w:rsidRDefault="00645877">
            <w:r w:rsidRPr="38641A08">
              <w:rPr>
                <w:color w:val="000000"/>
                <w:sz w:val="19"/>
                <w:szCs w:val="19"/>
              </w:rPr>
              <w:t xml:space="preserve">Vendor shall propose target performance benchmarks (e.g., 95th-percentile response time under load) appropriate to an expected peak concurrency of approximately </w:t>
            </w:r>
            <w:r w:rsidR="007B6082">
              <w:rPr>
                <w:color w:val="000000"/>
                <w:sz w:val="19"/>
                <w:szCs w:val="19"/>
              </w:rPr>
              <w:t>100</w:t>
            </w:r>
            <w:r w:rsidR="007B6082" w:rsidRPr="38641A08">
              <w:rPr>
                <w:color w:val="000000"/>
                <w:sz w:val="19"/>
                <w:szCs w:val="19"/>
              </w:rPr>
              <w:t xml:space="preserve"> </w:t>
            </w:r>
            <w:r w:rsidRPr="38641A08">
              <w:rPr>
                <w:color w:val="000000"/>
                <w:sz w:val="19"/>
                <w:szCs w:val="19"/>
              </w:rPr>
              <w:t xml:space="preserve">simultaneous users, in addition to the floor targets stated in TR-1104, TR-1107, and TR-1108. </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TR-1102</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Vendor shall describe how the proposed solution scales (horizontally and/or vertically, or via provider-managed capacity) to accommodate DOR's peak-demand periods, including statutory filing and payment deadlines. [DOR to supply the specific recurring deadline dates/cycles — see Section 5, Checklist Item 6.]</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S</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TR-1103</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The solution shall be designed for high availability within a single hosting region at minimum, with no single point of failure in the production architecture (e.g., multi-availability-zone deployment for the database tier, load-balanced compute).</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EC35F7" w:rsidTr="38641A08">
        <w:tc>
          <w:tcPr>
            <w:tcW w:w="900" w:type="dxa"/>
            <w:shd w:val="clear" w:color="auto" w:fill="FFFFFF" w:themeFill="background2"/>
            <w:tcMar>
              <w:top w:w="80" w:type="dxa"/>
              <w:left w:w="100" w:type="dxa"/>
              <w:bottom w:w="80" w:type="dxa"/>
              <w:right w:w="100" w:type="dxa"/>
            </w:tcMar>
            <w:vAlign w:val="center"/>
          </w:tcPr>
          <w:p w:rsidR="00EC35F7" w:rsidRDefault="00EC35F7">
            <w:pPr>
              <w:jc w:val="center"/>
              <w:rPr>
                <w:b/>
                <w:bCs/>
                <w:color w:val="000000"/>
                <w:sz w:val="19"/>
                <w:szCs w:val="19"/>
              </w:rPr>
            </w:pPr>
            <w:r>
              <w:rPr>
                <w:b/>
                <w:bCs/>
                <w:color w:val="000000"/>
                <w:sz w:val="19"/>
                <w:szCs w:val="19"/>
              </w:rPr>
              <w:t>xx-xxx</w:t>
            </w:r>
          </w:p>
        </w:tc>
        <w:tc>
          <w:tcPr>
            <w:tcW w:w="7760" w:type="dxa"/>
            <w:shd w:val="clear" w:color="auto" w:fill="FFFFFF" w:themeFill="background2"/>
            <w:tcMar>
              <w:top w:w="80" w:type="dxa"/>
              <w:left w:w="100" w:type="dxa"/>
              <w:bottom w:w="80" w:type="dxa"/>
              <w:right w:w="100" w:type="dxa"/>
            </w:tcMar>
            <w:vAlign w:val="center"/>
          </w:tcPr>
          <w:p w:rsidR="00EC35F7" w:rsidRDefault="00EC35F7">
            <w:pPr>
              <w:rPr>
                <w:color w:val="000000"/>
                <w:sz w:val="19"/>
                <w:szCs w:val="19"/>
              </w:rPr>
            </w:pPr>
            <w:r>
              <w:rPr>
                <w:color w:val="000000"/>
                <w:sz w:val="19"/>
                <w:szCs w:val="19"/>
              </w:rPr>
              <w:t xml:space="preserve">The solution </w:t>
            </w:r>
            <w:r w:rsidR="00A7097F">
              <w:rPr>
                <w:color w:val="000000"/>
                <w:sz w:val="19"/>
                <w:szCs w:val="19"/>
              </w:rPr>
              <w:t>will</w:t>
            </w:r>
            <w:r>
              <w:rPr>
                <w:color w:val="000000"/>
                <w:sz w:val="19"/>
                <w:szCs w:val="19"/>
              </w:rPr>
              <w:t xml:space="preserve"> </w:t>
            </w:r>
            <w:r w:rsidR="0054220A">
              <w:rPr>
                <w:color w:val="000000"/>
                <w:sz w:val="19"/>
                <w:szCs w:val="19"/>
              </w:rPr>
              <w:t xml:space="preserve">maintain a </w:t>
            </w:r>
            <w:r w:rsidR="00A7097F">
              <w:rPr>
                <w:color w:val="000000"/>
                <w:sz w:val="19"/>
                <w:szCs w:val="19"/>
              </w:rPr>
              <w:t xml:space="preserve">minimum </w:t>
            </w:r>
            <w:r w:rsidR="0054220A">
              <w:rPr>
                <w:color w:val="000000"/>
                <w:sz w:val="19"/>
                <w:szCs w:val="19"/>
              </w:rPr>
              <w:t>s</w:t>
            </w:r>
            <w:r w:rsidR="009770D8" w:rsidRPr="009770D8">
              <w:rPr>
                <w:color w:val="000000"/>
                <w:sz w:val="19"/>
                <w:szCs w:val="19"/>
              </w:rPr>
              <w:t>ervice availability of 99</w:t>
            </w:r>
            <w:r w:rsidR="0054220A">
              <w:rPr>
                <w:color w:val="000000"/>
                <w:sz w:val="19"/>
                <w:szCs w:val="19"/>
              </w:rPr>
              <w:t>.9</w:t>
            </w:r>
            <w:r w:rsidR="009770D8" w:rsidRPr="009770D8">
              <w:rPr>
                <w:color w:val="000000"/>
                <w:sz w:val="19"/>
                <w:szCs w:val="19"/>
              </w:rPr>
              <w:t xml:space="preserve">% </w:t>
            </w:r>
            <w:r w:rsidR="0054220A">
              <w:rPr>
                <w:color w:val="000000"/>
                <w:sz w:val="19"/>
                <w:szCs w:val="19"/>
              </w:rPr>
              <w:t xml:space="preserve">which </w:t>
            </w:r>
            <w:r w:rsidR="009770D8" w:rsidRPr="009770D8">
              <w:rPr>
                <w:color w:val="000000"/>
                <w:sz w:val="19"/>
                <w:szCs w:val="19"/>
              </w:rPr>
              <w:t>means a system is operational 99</w:t>
            </w:r>
            <w:r w:rsidR="0054220A">
              <w:rPr>
                <w:color w:val="000000"/>
                <w:sz w:val="19"/>
                <w:szCs w:val="19"/>
              </w:rPr>
              <w:t>.9</w:t>
            </w:r>
            <w:r w:rsidR="009770D8" w:rsidRPr="009770D8">
              <w:rPr>
                <w:color w:val="000000"/>
                <w:sz w:val="19"/>
                <w:szCs w:val="19"/>
              </w:rPr>
              <w:t xml:space="preserve">% of the time, allowing for a maximum downtime of </w:t>
            </w:r>
            <w:r w:rsidR="00E271B7" w:rsidRPr="00E271B7">
              <w:rPr>
                <w:color w:val="000000"/>
                <w:sz w:val="19"/>
                <w:szCs w:val="19"/>
              </w:rPr>
              <w:t>8 hours and 46 minutes per year</w:t>
            </w:r>
            <w:r w:rsidR="00E271B7">
              <w:rPr>
                <w:color w:val="000000"/>
                <w:sz w:val="19"/>
                <w:szCs w:val="19"/>
              </w:rPr>
              <w:t>.</w:t>
            </w:r>
          </w:p>
        </w:tc>
        <w:tc>
          <w:tcPr>
            <w:tcW w:w="700" w:type="dxa"/>
            <w:shd w:val="clear" w:color="auto" w:fill="FFFFFF" w:themeFill="background2"/>
            <w:tcMar>
              <w:top w:w="80" w:type="dxa"/>
              <w:left w:w="100" w:type="dxa"/>
              <w:bottom w:w="80" w:type="dxa"/>
              <w:right w:w="100" w:type="dxa"/>
            </w:tcMar>
            <w:vAlign w:val="center"/>
          </w:tcPr>
          <w:p w:rsidR="00EC35F7" w:rsidRDefault="00297153">
            <w:pPr>
              <w:jc w:val="center"/>
              <w:rPr>
                <w:b/>
                <w:bCs/>
                <w:color w:val="000000"/>
                <w:sz w:val="19"/>
                <w:szCs w:val="19"/>
              </w:rPr>
            </w:pPr>
            <w:r>
              <w:rPr>
                <w:b/>
                <w:bCs/>
                <w:color w:val="000000"/>
                <w:sz w:val="19"/>
                <w:szCs w:val="19"/>
              </w:rPr>
              <w:t>M</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TR-1104</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The solution's synchronous API endpoints shall meet a 95th-percentile (p95) response time of no more than 500 milliseconds and a 99th-percentile (p99) response time of no more than 1,500 milliseconds for standard read operations, measured at the API gateway and excluding client-side network latency. [Placeholder targets — see Section 5, Checklist Item 6.]</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TR-1105</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Vendor shall document expected latency for any operations that fall outside the standard read-operation target in TR-1104 (e.g., batch processing, report generation, file uploads/downloads) and propose appropriate targets for each.</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S</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sidRPr="38641A08">
              <w:rPr>
                <w:b/>
                <w:bCs/>
                <w:color w:val="000000"/>
                <w:sz w:val="19"/>
                <w:szCs w:val="19"/>
              </w:rPr>
              <w:t>TR-1106</w:t>
            </w:r>
          </w:p>
        </w:tc>
        <w:tc>
          <w:tcPr>
            <w:tcW w:w="7760" w:type="dxa"/>
            <w:shd w:val="clear" w:color="auto" w:fill="F2F2F2" w:themeFill="background2" w:themeFillShade="F2"/>
            <w:tcMar>
              <w:top w:w="80" w:type="dxa"/>
              <w:left w:w="100" w:type="dxa"/>
              <w:bottom w:w="80" w:type="dxa"/>
              <w:right w:w="100" w:type="dxa"/>
            </w:tcMar>
            <w:vAlign w:val="center"/>
          </w:tcPr>
          <w:p w:rsidR="008F1637" w:rsidRDefault="695D721C" w:rsidP="38641A08">
            <w:pPr>
              <w:rPr>
                <w:color w:val="000000"/>
                <w:sz w:val="19"/>
                <w:szCs w:val="19"/>
              </w:rPr>
            </w:pPr>
            <w:r w:rsidRPr="38641A08">
              <w:rPr>
                <w:color w:val="000000"/>
                <w:sz w:val="19"/>
                <w:szCs w:val="19"/>
              </w:rPr>
              <w:t xml:space="preserve">Web pages shall achieve a Largest </w:t>
            </w:r>
            <w:proofErr w:type="spellStart"/>
            <w:r w:rsidRPr="38641A08">
              <w:rPr>
                <w:color w:val="000000"/>
                <w:sz w:val="19"/>
                <w:szCs w:val="19"/>
              </w:rPr>
              <w:t>Contentful</w:t>
            </w:r>
            <w:proofErr w:type="spellEnd"/>
            <w:r w:rsidRPr="38641A08">
              <w:rPr>
                <w:color w:val="000000"/>
                <w:sz w:val="19"/>
                <w:szCs w:val="19"/>
              </w:rPr>
              <w:t xml:space="preserve"> Paint (LCP) of no more than 2.5 seconds under typical network conditions.</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TR-1107</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The solution shall sustain a minimum steady-state throughput of 50 transactions per second under normal load without response times exceeding the targets in TR-1104.</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TR-1108</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The solution shall absorb burst traffic of up to 3 times its sustained throughput rate (TR-1107) for a period of at least 5 minutes without returning error responses, exceeding the latency targets in TR-1104, or losing data.</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TR-1109</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 xml:space="preserve">The solution shall enforce rate limits on all externally exposed API endpoints, applied per consumer (API key, client ID, or equivalent), to protect against abuse and unintentional overload. Default limits shall be no less than 100 requests per minute per consumer unless a higher limit is explicitly </w:t>
            </w:r>
            <w:r w:rsidR="00F66B9D">
              <w:rPr>
                <w:color w:val="000000"/>
                <w:sz w:val="19"/>
                <w:szCs w:val="19"/>
              </w:rPr>
              <w:t>requested</w:t>
            </w:r>
            <w:r>
              <w:rPr>
                <w:color w:val="000000"/>
                <w:sz w:val="19"/>
                <w:szCs w:val="19"/>
              </w:rPr>
              <w:t>.</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TR-1110</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When a rate or burst limit is exceeded, the solution shall return an HTTP 429 (Too Many Requests) response including a Retry-After header, rather than failing silently, timing out, or returning an unhandled server error.</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TR-1111</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Vendor shall document the maximum concurrent connections and database connection-pool limits designed into the solution and describe how the architecture behaves when those limits are reached (e.g., request queuing, graceful rejection) rather than cascading failure.</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TR-1112</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The solution's compute tier shall scale automatically based on defined utilization or request-rate thresholds (e.g., AWS Auto Scaling target tracking, or an equivalent provider-managed mechanism). Vendor shall propose minimum and maximum capacity bounds for DOR review.</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TR-1113</w:t>
            </w:r>
          </w:p>
        </w:tc>
        <w:tc>
          <w:tcPr>
            <w:tcW w:w="7760" w:type="dxa"/>
            <w:shd w:val="clear" w:color="auto" w:fill="FFFFFF" w:themeFill="background2"/>
            <w:tcMar>
              <w:top w:w="80" w:type="dxa"/>
              <w:left w:w="100" w:type="dxa"/>
              <w:bottom w:w="80" w:type="dxa"/>
              <w:right w:w="100" w:type="dxa"/>
            </w:tcMar>
            <w:vAlign w:val="center"/>
          </w:tcPr>
          <w:p w:rsidR="008F1637" w:rsidRPr="00AE1ED6" w:rsidRDefault="00645877">
            <w:r w:rsidRPr="00AE1ED6">
              <w:rPr>
                <w:color w:val="000000"/>
                <w:sz w:val="19"/>
                <w:szCs w:val="19"/>
              </w:rPr>
              <w:t>Vendor shall document configured timeout values for all synchronous external dependencies (e.g., database calls, downstream API calls) and describe fallback or error-handling behavior when a timeout occurs.</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TR-1114</w:t>
            </w:r>
          </w:p>
        </w:tc>
        <w:tc>
          <w:tcPr>
            <w:tcW w:w="7760" w:type="dxa"/>
            <w:shd w:val="clear" w:color="auto" w:fill="F2F2F2" w:themeFill="background2" w:themeFillShade="F2"/>
            <w:tcMar>
              <w:top w:w="80" w:type="dxa"/>
              <w:left w:w="100" w:type="dxa"/>
              <w:bottom w:w="80" w:type="dxa"/>
              <w:right w:w="100" w:type="dxa"/>
            </w:tcMar>
            <w:vAlign w:val="center"/>
          </w:tcPr>
          <w:p w:rsidR="008F1637" w:rsidRPr="00AE1ED6" w:rsidRDefault="00645877">
            <w:r w:rsidRPr="00AE1ED6">
              <w:rPr>
                <w:color w:val="000000"/>
                <w:sz w:val="19"/>
                <w:szCs w:val="19"/>
              </w:rPr>
              <w:t>Vendor shall describe its use of resilience patterns — such as circuit breakers, retry with exponential backoff, and bulkhead isolation — for calls to external or downstream dependencies.</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S</w:t>
            </w:r>
          </w:p>
        </w:tc>
      </w:tr>
    </w:tbl>
    <w:p w:rsidR="008F1637" w:rsidRDefault="008F1637">
      <w:pPr>
        <w:spacing w:after="200"/>
      </w:pPr>
    </w:p>
    <w:p w:rsidR="008F1637" w:rsidRDefault="00645877">
      <w:pPr>
        <w:pStyle w:val="Heading2"/>
      </w:pPr>
      <w:r>
        <w:rPr>
          <w:b/>
          <w:bCs/>
          <w:color w:val="1F3864"/>
          <w:sz w:val="24"/>
          <w:szCs w:val="24"/>
        </w:rPr>
        <w:t>4.1</w:t>
      </w:r>
      <w:r w:rsidR="00246672">
        <w:rPr>
          <w:b/>
          <w:bCs/>
          <w:color w:val="1F3864"/>
          <w:sz w:val="24"/>
          <w:szCs w:val="24"/>
        </w:rPr>
        <w:t>2</w:t>
      </w:r>
      <w:r>
        <w:rPr>
          <w:b/>
          <w:bCs/>
          <w:color w:val="1F3864"/>
          <w:sz w:val="24"/>
          <w:szCs w:val="24"/>
        </w:rPr>
        <w:t xml:space="preserve">  Disaster Recovery &amp; Business Continuity</w:t>
      </w:r>
    </w:p>
    <w:p w:rsidR="008F1637" w:rsidRDefault="00645877">
      <w:pPr>
        <w:spacing w:after="160" w:line="276" w:lineRule="auto"/>
      </w:pPr>
      <w:r>
        <w:rPr>
          <w:i/>
          <w:iCs/>
          <w:color w:val="000000"/>
        </w:rPr>
        <w:t>Targets apply regardless of delivery approach; responsibility for meeting them follows whichever party operates the solution day to day (see TR-403).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tc>
          <w:tcPr>
            <w:tcW w:w="9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TR-1201</w:t>
            </w:r>
          </w:p>
        </w:tc>
        <w:tc>
          <w:tcPr>
            <w:tcW w:w="7760" w:type="dxa"/>
            <w:shd w:val="clear" w:color="auto" w:fill="FFFFFF"/>
            <w:tcMar>
              <w:top w:w="80" w:type="dxa"/>
              <w:left w:w="100" w:type="dxa"/>
              <w:bottom w:w="80" w:type="dxa"/>
              <w:right w:w="100" w:type="dxa"/>
            </w:tcMar>
            <w:vAlign w:val="center"/>
          </w:tcPr>
          <w:p w:rsidR="008F1637" w:rsidRDefault="00645877">
            <w:r>
              <w:rPr>
                <w:color w:val="000000"/>
                <w:sz w:val="19"/>
                <w:szCs w:val="19"/>
              </w:rPr>
              <w:t>Vendor shall propose a disaster recovery approach meeting the RPO/RTO targets stated in TR-403 and consistent with WaTech disaster-preparedness expectations.</w:t>
            </w:r>
          </w:p>
        </w:tc>
        <w:tc>
          <w:tcPr>
            <w:tcW w:w="7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tc>
          <w:tcPr>
            <w:tcW w:w="9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TR-1202</w:t>
            </w:r>
          </w:p>
        </w:tc>
        <w:tc>
          <w:tcPr>
            <w:tcW w:w="7760" w:type="dxa"/>
            <w:shd w:val="clear" w:color="auto" w:fill="F2F2F2"/>
            <w:tcMar>
              <w:top w:w="80" w:type="dxa"/>
              <w:left w:w="100" w:type="dxa"/>
              <w:bottom w:w="80" w:type="dxa"/>
              <w:right w:w="100" w:type="dxa"/>
            </w:tcMar>
            <w:vAlign w:val="center"/>
          </w:tcPr>
          <w:p w:rsidR="008F1637" w:rsidRDefault="00645877">
            <w:r>
              <w:rPr>
                <w:color w:val="000000"/>
                <w:sz w:val="19"/>
                <w:szCs w:val="19"/>
              </w:rPr>
              <w:t>Vendor shall describe its approach to DR testing, both during the engagement and on an ongoing basis where Vendor operates the solution long-term.</w:t>
            </w:r>
          </w:p>
        </w:tc>
        <w:tc>
          <w:tcPr>
            <w:tcW w:w="7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S</w:t>
            </w:r>
          </w:p>
        </w:tc>
      </w:tr>
    </w:tbl>
    <w:p w:rsidR="008F1637" w:rsidRDefault="008F1637">
      <w:pPr>
        <w:spacing w:after="200"/>
      </w:pPr>
    </w:p>
    <w:p w:rsidR="008F1637" w:rsidRDefault="00645877">
      <w:pPr>
        <w:pStyle w:val="Heading2"/>
      </w:pPr>
      <w:r>
        <w:rPr>
          <w:b/>
          <w:bCs/>
          <w:color w:val="1F3864"/>
          <w:sz w:val="24"/>
          <w:szCs w:val="24"/>
        </w:rPr>
        <w:t>4.1</w:t>
      </w:r>
      <w:r w:rsidR="008B496D">
        <w:rPr>
          <w:b/>
          <w:bCs/>
          <w:color w:val="1F3864"/>
          <w:sz w:val="24"/>
          <w:szCs w:val="24"/>
        </w:rPr>
        <w:t>3</w:t>
      </w:r>
      <w:r>
        <w:rPr>
          <w:b/>
          <w:bCs/>
          <w:color w:val="1F3864"/>
          <w:sz w:val="24"/>
          <w:szCs w:val="24"/>
        </w:rPr>
        <w:t xml:space="preserve">  Ownership, Licensing &amp; Data Rights</w:t>
      </w:r>
    </w:p>
    <w:p w:rsidR="008F1637" w:rsidRDefault="00645877">
      <w:pPr>
        <w:spacing w:after="160" w:line="276" w:lineRule="auto"/>
      </w:pPr>
      <w:r>
        <w:rPr>
          <w:i/>
          <w:iCs/>
          <w:color w:val="000000"/>
        </w:rPr>
        <w:t>Whatever the delivery approach, DOR's ownership of its own data is non-negotiable (TR-1301). Ownership of the underlying code depends on the approach; TR-1302 states that conditionally rather than as a separate rule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rsidTr="38641A08">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TR-1301</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DOR shall retain full ownership of, and unrestricted rights to, all DOR data entered into or generated by the solution — including bill records, documents, and DOR-created reports or configurations — regardless of which party owns the underlying platform or source code.</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TR-1302</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Where Vendor delivers custom-built source code that DOR is to own outright (i.e., Vendor is not retaining and operating the platform long-term), that code, along with related documentation and architectural artifacts, shall be considered a “work made for hire” and shall be DOR's sole and exclusive property upon creation; to the extent any deliverable does not so qualify, Vendor shall execute all documents necessary to assign full ownership at no additional cost.</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TR-1303</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Vendor shall not embed proprietary Vendor-owned components that would restrict DOR's rights under TR-1301/TR-1302 or DOR's ability to migrate away from Vendor's platform, without DOR's prior written approval and, where DOR does not own the code outright, a license sufficient to support the data-portability rights in TR-1306.</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TR-1304</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sidRPr="00AE1ED6">
              <w:rPr>
                <w:color w:val="000000"/>
                <w:sz w:val="19"/>
                <w:szCs w:val="19"/>
              </w:rPr>
              <w:t>Vendor shall provide a Software Bill of Materials (SBOM) or equivalent inventory of significant third-party/open-source components sufficient for DOR to assess security exposure, at a level of disclosure reasonable for Vendor's proposed approach.</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TR-1305</w:t>
            </w:r>
          </w:p>
        </w:tc>
        <w:tc>
          <w:tcPr>
            <w:tcW w:w="7760" w:type="dxa"/>
            <w:shd w:val="clear" w:color="auto" w:fill="FFFFFF" w:themeFill="background2"/>
            <w:tcMar>
              <w:top w:w="80" w:type="dxa"/>
              <w:left w:w="100" w:type="dxa"/>
              <w:bottom w:w="80" w:type="dxa"/>
              <w:right w:w="100" w:type="dxa"/>
            </w:tcMar>
            <w:vAlign w:val="center"/>
          </w:tcPr>
          <w:p w:rsidR="008F1637" w:rsidRDefault="00645877">
            <w:r w:rsidRPr="38641A08">
              <w:rPr>
                <w:color w:val="000000"/>
                <w:sz w:val="19"/>
                <w:szCs w:val="19"/>
              </w:rPr>
              <w:t>Vendor shall not</w:t>
            </w:r>
            <w:r w:rsidRPr="38641A08" w:rsidDel="007B2D04">
              <w:rPr>
                <w:color w:val="000000"/>
                <w:sz w:val="19"/>
                <w:szCs w:val="19"/>
              </w:rPr>
              <w:t xml:space="preserve"> </w:t>
            </w:r>
            <w:r w:rsidR="007B2D04">
              <w:rPr>
                <w:color w:val="000000"/>
                <w:sz w:val="19"/>
                <w:szCs w:val="19"/>
              </w:rPr>
              <w:t>have access to</w:t>
            </w:r>
            <w:r w:rsidRPr="38641A08">
              <w:rPr>
                <w:color w:val="000000"/>
                <w:sz w:val="19"/>
                <w:szCs w:val="19"/>
              </w:rPr>
              <w:t xml:space="preserve"> DOR's data for any purpose other than providing the contracted service — including training artificial intelligence/machine learning models, building analytics products sold to third parties, or marketing — without DOR's prior written consent.</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38641A08">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TR-1306</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 xml:space="preserve">Upon contract termination or expiration, for any reason, Vendor shall provide DOR a complete export of all DOR data in a non-proprietary, commonly used format within 30 days of DOR's request, and shall securely delete </w:t>
            </w:r>
            <w:r w:rsidR="007D76BB">
              <w:rPr>
                <w:color w:val="000000"/>
                <w:sz w:val="19"/>
                <w:szCs w:val="19"/>
              </w:rPr>
              <w:t xml:space="preserve">all </w:t>
            </w:r>
            <w:r>
              <w:rPr>
                <w:color w:val="000000"/>
                <w:sz w:val="19"/>
                <w:szCs w:val="19"/>
              </w:rPr>
              <w:t>DOR's data from its environment within 60 days after DOR confirms successful export, providing written certification of deletion. Where DOR already independently possesses the complete code and data, this requirement is satisfied inherently.</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38641A08">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TR-1307</w:t>
            </w:r>
          </w:p>
        </w:tc>
        <w:tc>
          <w:tcPr>
            <w:tcW w:w="7760" w:type="dxa"/>
            <w:shd w:val="clear" w:color="auto" w:fill="FFFFFF" w:themeFill="background2"/>
            <w:tcMar>
              <w:top w:w="80" w:type="dxa"/>
              <w:left w:w="100" w:type="dxa"/>
              <w:bottom w:w="80" w:type="dxa"/>
              <w:right w:w="100" w:type="dxa"/>
            </w:tcMar>
            <w:vAlign w:val="center"/>
          </w:tcPr>
          <w:p w:rsidR="008F1637" w:rsidRDefault="00645877">
            <w:r w:rsidRPr="38641A08">
              <w:rPr>
                <w:color w:val="000000"/>
                <w:sz w:val="19"/>
                <w:szCs w:val="19"/>
              </w:rPr>
              <w:t xml:space="preserve">Vendor shall provide transition assistance — such as data-mapping support and knowledge transfer to a successor vendor or DOR staff — for a period of no less than 60 days following contract termination, to the extent DOR does not already possess everything needed to operate or migrate the solution independently. </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MS</w:t>
            </w:r>
          </w:p>
        </w:tc>
      </w:tr>
    </w:tbl>
    <w:p w:rsidR="008F1637" w:rsidRDefault="008F1637">
      <w:pPr>
        <w:spacing w:after="200"/>
      </w:pPr>
    </w:p>
    <w:p w:rsidR="008F1637" w:rsidRDefault="00645877">
      <w:pPr>
        <w:pStyle w:val="Heading2"/>
      </w:pPr>
      <w:r>
        <w:rPr>
          <w:b/>
          <w:bCs/>
          <w:color w:val="1F3864"/>
          <w:sz w:val="24"/>
          <w:szCs w:val="24"/>
        </w:rPr>
        <w:t>4.1</w:t>
      </w:r>
      <w:r w:rsidR="008B496D">
        <w:rPr>
          <w:b/>
          <w:bCs/>
          <w:color w:val="1F3864"/>
          <w:sz w:val="24"/>
          <w:szCs w:val="24"/>
        </w:rPr>
        <w:t>4</w:t>
      </w:r>
      <w:r>
        <w:rPr>
          <w:b/>
          <w:bCs/>
          <w:color w:val="1F3864"/>
          <w:sz w:val="24"/>
          <w:szCs w:val="24"/>
        </w:rPr>
        <w:t xml:space="preserve">  Knowledge Transfer, Transition &amp; Support</w:t>
      </w:r>
    </w:p>
    <w:p w:rsidR="008F1637" w:rsidRDefault="00645877">
      <w:pPr>
        <w:spacing w:after="160" w:line="276" w:lineRule="auto"/>
      </w:pPr>
      <w:r>
        <w:rPr>
          <w:i/>
          <w:iCs/>
          <w:color w:val="000000"/>
        </w:rPr>
        <w:t>Covers documentation, training, and the support commitment that follows delivery — stated once, with the specific commitment (a defined support window vs. an ongoing SLA) determined by which approach the winning proposal 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rsidTr="707D4F99">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rsidTr="707D4F99">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TR-1401</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Vendor shall develop and execute a DOR-approved plan for knowledge transfer and, where applicable, final work-product delivery, so DOR has the documentation, training, and artifacts necessary to operate or oversee the solution with confidence.</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TR-1402</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Vendor shall provide hands-on knowledge transfer to designated DOR staff throughout the engagement — not solely at the end — via documentation, live/recorded training sessions, and walkthroughs of the codebase, architecture, deployment pipeline, and operational runbooks, culminating in formal training sessions prior to go-live. Consistent with TR-206 where applicable, Vendor shall conduct this without accessing any DOR-owned system.</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TR-1403</w:t>
            </w:r>
          </w:p>
        </w:tc>
        <w:tc>
          <w:tcPr>
            <w:tcW w:w="7760" w:type="dxa"/>
            <w:shd w:val="clear" w:color="auto" w:fill="FFFFFF" w:themeFill="background2"/>
            <w:tcMar>
              <w:top w:w="80" w:type="dxa"/>
              <w:left w:w="100" w:type="dxa"/>
              <w:bottom w:w="80" w:type="dxa"/>
              <w:right w:w="100" w:type="dxa"/>
            </w:tcMar>
            <w:vAlign w:val="center"/>
          </w:tcPr>
          <w:p w:rsidR="008F1637" w:rsidRDefault="00645877">
            <w:r>
              <w:rPr>
                <w:color w:val="000000"/>
                <w:sz w:val="19"/>
                <w:szCs w:val="19"/>
              </w:rPr>
              <w:t>Vendor shall deliver complete “as-built” architecture documentation, data model/ER diagrams, and operational runbooks (deployment, rollback, incident response, common troubleshooting) prior to go-live.</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TR-1404</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Where DOR is to deploy and configure the delivered solution within its own environment, Vendor shall assist by providing live guidance, documentation walkthroughs, and troubleshooting advice for solution testing, acceptance testing, and operational integration validation, while DOR personnel perform every action themselves, consistent with TR-206.</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rsidTr="707D4F99">
        <w:tc>
          <w:tcPr>
            <w:tcW w:w="9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TR-1405</w:t>
            </w:r>
          </w:p>
        </w:tc>
        <w:tc>
          <w:tcPr>
            <w:tcW w:w="7760" w:type="dxa"/>
            <w:shd w:val="clear" w:color="auto" w:fill="FFFFFF" w:themeFill="background2"/>
            <w:tcMar>
              <w:top w:w="80" w:type="dxa"/>
              <w:left w:w="100" w:type="dxa"/>
              <w:bottom w:w="80" w:type="dxa"/>
              <w:right w:w="100" w:type="dxa"/>
            </w:tcMar>
            <w:vAlign w:val="center"/>
          </w:tcPr>
          <w:p w:rsidR="008F1637" w:rsidRDefault="19ABCA90" w:rsidP="707D4F99">
            <w:pPr>
              <w:rPr>
                <w:color w:val="000000"/>
                <w:sz w:val="19"/>
                <w:szCs w:val="19"/>
              </w:rPr>
            </w:pPr>
            <w:r w:rsidRPr="707D4F99">
              <w:rPr>
                <w:color w:val="000000"/>
                <w:sz w:val="19"/>
                <w:szCs w:val="19"/>
              </w:rPr>
              <w:t>Vendor shall commit to a defined period of support appropriate to the proposed approach. Where DOR is to operate the solution independently, Vendor shall provide a pre-acceptance consultative-support period of no less than 60 days, during which DOR performs all operational duties itself; Vendor's obligations terminate in full once that period concludes successfully. Where Vendor hosts the solution on an ongoing basis, Vendor shall instead commit to a monthly uptime of no less than 99.9% with defined service credits and shall notify DOR of any confirmed security incident affecting DOR data within 24 hours of confirmation.</w:t>
            </w:r>
          </w:p>
        </w:tc>
        <w:tc>
          <w:tcPr>
            <w:tcW w:w="700" w:type="dxa"/>
            <w:shd w:val="clear" w:color="auto" w:fill="FFFFFF" w:themeFill="background2"/>
            <w:tcMar>
              <w:top w:w="80" w:type="dxa"/>
              <w:left w:w="100" w:type="dxa"/>
              <w:bottom w:w="80" w:type="dxa"/>
              <w:right w:w="100" w:type="dxa"/>
            </w:tcMar>
            <w:vAlign w:val="center"/>
          </w:tcPr>
          <w:p w:rsidR="008F1637" w:rsidRDefault="00645877">
            <w:pPr>
              <w:jc w:val="center"/>
            </w:pPr>
            <w:r>
              <w:rPr>
                <w:b/>
                <w:bCs/>
                <w:color w:val="000000"/>
                <w:sz w:val="19"/>
                <w:szCs w:val="19"/>
              </w:rPr>
              <w:t>MS</w:t>
            </w:r>
          </w:p>
        </w:tc>
      </w:tr>
      <w:tr w:rsidR="008F1637" w:rsidTr="707D4F99">
        <w:tc>
          <w:tcPr>
            <w:tcW w:w="9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TR-1406</w:t>
            </w:r>
          </w:p>
        </w:tc>
        <w:tc>
          <w:tcPr>
            <w:tcW w:w="7760" w:type="dxa"/>
            <w:shd w:val="clear" w:color="auto" w:fill="F2F2F2" w:themeFill="background2" w:themeFillShade="F2"/>
            <w:tcMar>
              <w:top w:w="80" w:type="dxa"/>
              <w:left w:w="100" w:type="dxa"/>
              <w:bottom w:w="80" w:type="dxa"/>
              <w:right w:w="100" w:type="dxa"/>
            </w:tcMar>
            <w:vAlign w:val="center"/>
          </w:tcPr>
          <w:p w:rsidR="008F1637" w:rsidRDefault="00645877">
            <w:r>
              <w:rPr>
                <w:color w:val="000000"/>
                <w:sz w:val="19"/>
                <w:szCs w:val="19"/>
              </w:rPr>
              <w:t>Where DOR is to independently operate the solution, Vendor shall retain no access whatsoever to DOR's environment, systems, or repositories, during the engagement or after — consistent with TR-206, with no exception for any purpose. Where Vendor hosts the solution instead, Vendor's access is limited to what is necessary to provide the contracted service, subject to the audit and review rights in TR-208.</w:t>
            </w:r>
          </w:p>
        </w:tc>
        <w:tc>
          <w:tcPr>
            <w:tcW w:w="700" w:type="dxa"/>
            <w:shd w:val="clear" w:color="auto" w:fill="F2F2F2" w:themeFill="background2" w:themeFillShade="F2"/>
            <w:tcMar>
              <w:top w:w="80" w:type="dxa"/>
              <w:left w:w="100" w:type="dxa"/>
              <w:bottom w:w="80" w:type="dxa"/>
              <w:right w:w="100" w:type="dxa"/>
            </w:tcMar>
            <w:vAlign w:val="center"/>
          </w:tcPr>
          <w:p w:rsidR="008F1637" w:rsidRDefault="00645877">
            <w:pPr>
              <w:jc w:val="center"/>
            </w:pPr>
            <w:r>
              <w:rPr>
                <w:b/>
                <w:bCs/>
                <w:color w:val="000000"/>
                <w:sz w:val="19"/>
                <w:szCs w:val="19"/>
              </w:rPr>
              <w:t>M</w:t>
            </w:r>
          </w:p>
        </w:tc>
      </w:tr>
    </w:tbl>
    <w:p w:rsidR="008F1637" w:rsidRDefault="008F1637">
      <w:pPr>
        <w:spacing w:after="200"/>
      </w:pPr>
    </w:p>
    <w:p w:rsidR="008F1637" w:rsidRDefault="00645877">
      <w:pPr>
        <w:pStyle w:val="Heading2"/>
      </w:pPr>
      <w:r>
        <w:rPr>
          <w:b/>
          <w:bCs/>
          <w:color w:val="1F3864"/>
          <w:sz w:val="24"/>
          <w:szCs w:val="24"/>
        </w:rPr>
        <w:t>4.1</w:t>
      </w:r>
      <w:r w:rsidR="00E92AAB">
        <w:rPr>
          <w:b/>
          <w:bCs/>
          <w:color w:val="1F3864"/>
          <w:sz w:val="24"/>
          <w:szCs w:val="24"/>
        </w:rPr>
        <w:t>5</w:t>
      </w:r>
      <w:r>
        <w:rPr>
          <w:b/>
          <w:bCs/>
          <w:color w:val="1F3864"/>
          <w:sz w:val="24"/>
          <w:szCs w:val="24"/>
        </w:rPr>
        <w:t xml:space="preserve">  Open Source Software Usage</w:t>
      </w:r>
    </w:p>
    <w:p w:rsidR="008F1637" w:rsidRDefault="00645877">
      <w:pPr>
        <w:spacing w:after="160" w:line="276" w:lineRule="auto"/>
      </w:pPr>
      <w:r>
        <w:rPr>
          <w:i/>
          <w:iCs/>
          <w:color w:val="000000"/>
        </w:rPr>
        <w:t>Requires Vendor to comprehensively disclose its use of free and open-source software (FOSS), rather than deferring to a general DOR software-evaluation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tc>
          <w:tcPr>
            <w:tcW w:w="9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TR-1501</w:t>
            </w:r>
          </w:p>
        </w:tc>
        <w:tc>
          <w:tcPr>
            <w:tcW w:w="7760" w:type="dxa"/>
            <w:shd w:val="clear" w:color="auto" w:fill="FFFFFF"/>
            <w:tcMar>
              <w:top w:w="80" w:type="dxa"/>
              <w:left w:w="100" w:type="dxa"/>
              <w:bottom w:w="80" w:type="dxa"/>
              <w:right w:w="100" w:type="dxa"/>
            </w:tcMar>
            <w:vAlign w:val="center"/>
          </w:tcPr>
          <w:p w:rsidR="008F1637" w:rsidRDefault="00645877">
            <w:r>
              <w:rPr>
                <w:color w:val="000000"/>
                <w:sz w:val="19"/>
                <w:szCs w:val="19"/>
              </w:rPr>
              <w:t>Vendor shall specifically disclose and identify every free or open-source software (FOSS) library, component, or product that the solution uses, or requires, to operate or manage — including build, deployment, monitoring, and other operational tooling, not solely components embedded in delivered application code.</w:t>
            </w:r>
          </w:p>
        </w:tc>
        <w:tc>
          <w:tcPr>
            <w:tcW w:w="7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tc>
          <w:tcPr>
            <w:tcW w:w="9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TR-1502</w:t>
            </w:r>
          </w:p>
        </w:tc>
        <w:tc>
          <w:tcPr>
            <w:tcW w:w="7760" w:type="dxa"/>
            <w:shd w:val="clear" w:color="auto" w:fill="F2F2F2"/>
            <w:tcMar>
              <w:top w:w="80" w:type="dxa"/>
              <w:left w:w="100" w:type="dxa"/>
              <w:bottom w:w="80" w:type="dxa"/>
              <w:right w:w="100" w:type="dxa"/>
            </w:tcMar>
            <w:vAlign w:val="center"/>
          </w:tcPr>
          <w:p w:rsidR="008F1637" w:rsidRDefault="00645877">
            <w:r>
              <w:rPr>
                <w:color w:val="000000"/>
                <w:sz w:val="19"/>
                <w:szCs w:val="19"/>
              </w:rPr>
              <w:t>For each FOSS library, component, or product disclosed under TR-1501, Vendor shall identify its license type and confirm that none impose obligations (e.g., copyleft licensing linked into proprietary modules) that would compromise DOR's rights under Section 4.13.</w:t>
            </w:r>
          </w:p>
        </w:tc>
        <w:tc>
          <w:tcPr>
            <w:tcW w:w="7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M</w:t>
            </w:r>
          </w:p>
        </w:tc>
      </w:tr>
    </w:tbl>
    <w:p w:rsidR="008F1637" w:rsidRDefault="008F1637">
      <w:pPr>
        <w:spacing w:after="200"/>
      </w:pPr>
    </w:p>
    <w:p w:rsidR="00F969FF" w:rsidRDefault="00F969FF" w:rsidP="00F969FF">
      <w:pPr>
        <w:pStyle w:val="Heading2"/>
      </w:pPr>
      <w:r w:rsidRPr="38641A08">
        <w:rPr>
          <w:b/>
          <w:bCs/>
          <w:color w:val="1F3864"/>
          <w:sz w:val="24"/>
          <w:szCs w:val="24"/>
        </w:rPr>
        <w:t>4.1</w:t>
      </w:r>
      <w:r w:rsidR="00E92AAB">
        <w:rPr>
          <w:b/>
          <w:bCs/>
          <w:color w:val="1F3864"/>
          <w:sz w:val="24"/>
          <w:szCs w:val="24"/>
        </w:rPr>
        <w:t>6</w:t>
      </w:r>
      <w:r w:rsidRPr="38641A08">
        <w:rPr>
          <w:b/>
          <w:bCs/>
          <w:color w:val="1F3864"/>
          <w:sz w:val="24"/>
          <w:szCs w:val="24"/>
        </w:rPr>
        <w:t xml:space="preserve">  </w:t>
      </w:r>
      <w:r w:rsidR="005752CC" w:rsidRPr="38641A08">
        <w:rPr>
          <w:b/>
          <w:bCs/>
          <w:color w:val="1F3864"/>
          <w:sz w:val="24"/>
          <w:szCs w:val="24"/>
        </w:rPr>
        <w:t>A</w:t>
      </w:r>
      <w:r w:rsidR="53400A3B" w:rsidRPr="38641A08">
        <w:rPr>
          <w:b/>
          <w:bCs/>
          <w:color w:val="1F3864"/>
          <w:sz w:val="24"/>
          <w:szCs w:val="24"/>
        </w:rPr>
        <w:t xml:space="preserve">rtificial </w:t>
      </w:r>
      <w:r w:rsidR="005752CC" w:rsidRPr="38641A08">
        <w:rPr>
          <w:b/>
          <w:bCs/>
          <w:color w:val="1F3864"/>
          <w:sz w:val="24"/>
          <w:szCs w:val="24"/>
        </w:rPr>
        <w:t>I</w:t>
      </w:r>
      <w:r w:rsidR="6D41F52D" w:rsidRPr="38641A08">
        <w:rPr>
          <w:b/>
          <w:bCs/>
          <w:color w:val="1F3864"/>
          <w:sz w:val="24"/>
          <w:szCs w:val="24"/>
        </w:rPr>
        <w:t xml:space="preserve">ntelligence (AI) </w:t>
      </w:r>
      <w:r w:rsidR="00755637" w:rsidRPr="38641A08">
        <w:rPr>
          <w:b/>
          <w:bCs/>
          <w:color w:val="1F3864"/>
          <w:sz w:val="24"/>
          <w:szCs w:val="24"/>
        </w:rPr>
        <w:t>tooling Integration or</w:t>
      </w:r>
      <w:r w:rsidRPr="38641A08">
        <w:rPr>
          <w:b/>
          <w:bCs/>
          <w:color w:val="1F3864"/>
          <w:sz w:val="24"/>
          <w:szCs w:val="24"/>
        </w:rPr>
        <w:t xml:space="preserve"> Usage</w:t>
      </w:r>
    </w:p>
    <w:p w:rsidR="00F969FF" w:rsidRDefault="00F969FF" w:rsidP="00F969FF">
      <w:pPr>
        <w:spacing w:after="160" w:line="276" w:lineRule="auto"/>
      </w:pPr>
      <w:r>
        <w:rPr>
          <w:i/>
          <w:iCs/>
          <w:color w:val="000000"/>
        </w:rPr>
        <w:t xml:space="preserve">Requires Vendor to comprehensively disclose its use </w:t>
      </w:r>
      <w:r w:rsidR="001B797B">
        <w:rPr>
          <w:i/>
          <w:iCs/>
          <w:color w:val="000000"/>
        </w:rPr>
        <w:t>of</w:t>
      </w:r>
      <w:r w:rsidR="008D6DFF">
        <w:rPr>
          <w:i/>
          <w:iCs/>
          <w:color w:val="000000"/>
        </w:rPr>
        <w:t xml:space="preserve"> AI</w:t>
      </w:r>
      <w:r w:rsidR="001B797B">
        <w:rPr>
          <w:i/>
          <w:iCs/>
          <w:color w:val="000000"/>
        </w:rPr>
        <w:t xml:space="preserve"> libraries,</w:t>
      </w:r>
      <w:r w:rsidR="008D6DFF">
        <w:rPr>
          <w:i/>
          <w:iCs/>
          <w:color w:val="000000"/>
        </w:rPr>
        <w:t xml:space="preserve"> AI</w:t>
      </w:r>
      <w:r>
        <w:rPr>
          <w:i/>
          <w:iCs/>
          <w:color w:val="000000"/>
        </w:rPr>
        <w:t xml:space="preserve"> </w:t>
      </w:r>
      <w:r w:rsidR="004A50FF">
        <w:rPr>
          <w:i/>
          <w:iCs/>
          <w:color w:val="000000"/>
        </w:rPr>
        <w:t>solutions/software</w:t>
      </w:r>
      <w:r w:rsidR="008D6DFF">
        <w:rPr>
          <w:i/>
          <w:iCs/>
          <w:color w:val="000000"/>
        </w:rPr>
        <w:t>,</w:t>
      </w:r>
      <w:r w:rsidR="004A50FF">
        <w:rPr>
          <w:i/>
          <w:iCs/>
          <w:color w:val="000000"/>
        </w:rPr>
        <w:t xml:space="preserve"> AI</w:t>
      </w:r>
      <w:r w:rsidR="008D6DFF">
        <w:rPr>
          <w:i/>
          <w:iCs/>
          <w:color w:val="000000"/>
        </w:rPr>
        <w:t xml:space="preserve"> reference</w:t>
      </w:r>
      <w:r w:rsidR="001B797B">
        <w:rPr>
          <w:i/>
          <w:iCs/>
          <w:color w:val="000000"/>
        </w:rPr>
        <w:t xml:space="preserve"> or </w:t>
      </w:r>
      <w:r w:rsidR="004A50FF">
        <w:rPr>
          <w:i/>
          <w:iCs/>
          <w:color w:val="000000"/>
        </w:rPr>
        <w:t xml:space="preserve">AI </w:t>
      </w:r>
      <w:r w:rsidR="001B797B">
        <w:rPr>
          <w:i/>
          <w:iCs/>
          <w:color w:val="000000"/>
        </w:rPr>
        <w:t>tools</w:t>
      </w:r>
      <w:r>
        <w:rPr>
          <w:i/>
          <w:iCs/>
          <w:color w:val="000000"/>
        </w:rPr>
        <w:t>, rather than deferring to a general DOR software-evaluation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F969FF" w:rsidTr="38641A08">
        <w:trPr>
          <w:tblHeader/>
        </w:trPr>
        <w:tc>
          <w:tcPr>
            <w:tcW w:w="900" w:type="dxa"/>
            <w:shd w:val="clear" w:color="auto" w:fill="1F3864"/>
            <w:tcMar>
              <w:top w:w="80" w:type="dxa"/>
              <w:left w:w="100" w:type="dxa"/>
              <w:bottom w:w="80" w:type="dxa"/>
              <w:right w:w="100" w:type="dxa"/>
            </w:tcMar>
            <w:vAlign w:val="center"/>
          </w:tcPr>
          <w:p w:rsidR="00F969FF" w:rsidRDefault="00F969FF">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F969FF" w:rsidRDefault="00F969FF">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F969FF" w:rsidRDefault="00F969FF">
            <w:pPr>
              <w:jc w:val="center"/>
            </w:pPr>
            <w:r>
              <w:rPr>
                <w:b/>
                <w:bCs/>
                <w:color w:val="FFFFFF"/>
                <w:sz w:val="19"/>
                <w:szCs w:val="19"/>
              </w:rPr>
              <w:t>Type</w:t>
            </w:r>
          </w:p>
        </w:tc>
      </w:tr>
      <w:tr w:rsidR="00F969FF" w:rsidTr="38641A08">
        <w:tc>
          <w:tcPr>
            <w:tcW w:w="900" w:type="dxa"/>
            <w:shd w:val="clear" w:color="auto" w:fill="FFFFFF" w:themeFill="background2"/>
            <w:tcMar>
              <w:top w:w="80" w:type="dxa"/>
              <w:left w:w="100" w:type="dxa"/>
              <w:bottom w:w="80" w:type="dxa"/>
              <w:right w:w="100" w:type="dxa"/>
            </w:tcMar>
            <w:vAlign w:val="center"/>
          </w:tcPr>
          <w:p w:rsidR="00F969FF" w:rsidRDefault="00F969FF">
            <w:pPr>
              <w:jc w:val="center"/>
            </w:pPr>
            <w:r>
              <w:rPr>
                <w:b/>
                <w:bCs/>
                <w:color w:val="000000"/>
                <w:sz w:val="19"/>
                <w:szCs w:val="19"/>
              </w:rPr>
              <w:t>TR-1</w:t>
            </w:r>
            <w:r w:rsidR="004A50FF">
              <w:rPr>
                <w:b/>
                <w:bCs/>
                <w:color w:val="000000"/>
                <w:sz w:val="19"/>
                <w:szCs w:val="19"/>
              </w:rPr>
              <w:t>6</w:t>
            </w:r>
            <w:r>
              <w:rPr>
                <w:b/>
                <w:bCs/>
                <w:color w:val="000000"/>
                <w:sz w:val="19"/>
                <w:szCs w:val="19"/>
              </w:rPr>
              <w:t>01</w:t>
            </w:r>
          </w:p>
        </w:tc>
        <w:tc>
          <w:tcPr>
            <w:tcW w:w="7760" w:type="dxa"/>
            <w:shd w:val="clear" w:color="auto" w:fill="FFFFFF" w:themeFill="background2"/>
            <w:tcMar>
              <w:top w:w="80" w:type="dxa"/>
              <w:left w:w="100" w:type="dxa"/>
              <w:bottom w:w="80" w:type="dxa"/>
              <w:right w:w="100" w:type="dxa"/>
            </w:tcMar>
            <w:vAlign w:val="center"/>
          </w:tcPr>
          <w:p w:rsidR="00F969FF" w:rsidRDefault="00F969FF">
            <w:r>
              <w:rPr>
                <w:color w:val="000000"/>
                <w:sz w:val="19"/>
                <w:szCs w:val="19"/>
              </w:rPr>
              <w:t xml:space="preserve">Vendor shall specifically disclose and identify every </w:t>
            </w:r>
            <w:r w:rsidR="00FF54FB">
              <w:rPr>
                <w:color w:val="000000"/>
                <w:sz w:val="19"/>
                <w:szCs w:val="19"/>
              </w:rPr>
              <w:t>AI</w:t>
            </w:r>
            <w:r>
              <w:rPr>
                <w:color w:val="000000"/>
                <w:sz w:val="19"/>
                <w:szCs w:val="19"/>
              </w:rPr>
              <w:t xml:space="preserve"> library, component, or product that the solution </w:t>
            </w:r>
            <w:r w:rsidR="00FF375B">
              <w:rPr>
                <w:color w:val="000000"/>
                <w:sz w:val="19"/>
                <w:szCs w:val="19"/>
              </w:rPr>
              <w:t xml:space="preserve">contains, </w:t>
            </w:r>
            <w:r>
              <w:rPr>
                <w:color w:val="000000"/>
                <w:sz w:val="19"/>
                <w:szCs w:val="19"/>
              </w:rPr>
              <w:t xml:space="preserve">uses, or requires, to operate or manage — including build, deployment, monitoring, and other operational tooling, not solely components embedded in delivered </w:t>
            </w:r>
            <w:r w:rsidR="00FF375B">
              <w:rPr>
                <w:color w:val="000000"/>
                <w:sz w:val="19"/>
                <w:szCs w:val="19"/>
              </w:rPr>
              <w:t xml:space="preserve">solution or </w:t>
            </w:r>
            <w:r w:rsidR="00BD7021">
              <w:rPr>
                <w:color w:val="000000"/>
                <w:sz w:val="19"/>
                <w:szCs w:val="19"/>
              </w:rPr>
              <w:t>solution</w:t>
            </w:r>
            <w:r>
              <w:rPr>
                <w:color w:val="000000"/>
                <w:sz w:val="19"/>
                <w:szCs w:val="19"/>
              </w:rPr>
              <w:t xml:space="preserve"> code.</w:t>
            </w:r>
          </w:p>
        </w:tc>
        <w:tc>
          <w:tcPr>
            <w:tcW w:w="700" w:type="dxa"/>
            <w:shd w:val="clear" w:color="auto" w:fill="FFFFFF" w:themeFill="background2"/>
            <w:tcMar>
              <w:top w:w="80" w:type="dxa"/>
              <w:left w:w="100" w:type="dxa"/>
              <w:bottom w:w="80" w:type="dxa"/>
              <w:right w:w="100" w:type="dxa"/>
            </w:tcMar>
            <w:vAlign w:val="center"/>
          </w:tcPr>
          <w:p w:rsidR="00F969FF" w:rsidRDefault="00F969FF">
            <w:pPr>
              <w:jc w:val="center"/>
            </w:pPr>
            <w:r>
              <w:rPr>
                <w:b/>
                <w:bCs/>
                <w:color w:val="000000"/>
                <w:sz w:val="19"/>
                <w:szCs w:val="19"/>
              </w:rPr>
              <w:t>M</w:t>
            </w:r>
          </w:p>
        </w:tc>
      </w:tr>
      <w:tr w:rsidR="00F969FF" w:rsidTr="38641A08">
        <w:tc>
          <w:tcPr>
            <w:tcW w:w="900" w:type="dxa"/>
            <w:shd w:val="clear" w:color="auto" w:fill="F2F2F2" w:themeFill="background2" w:themeFillShade="F2"/>
            <w:tcMar>
              <w:top w:w="80" w:type="dxa"/>
              <w:left w:w="100" w:type="dxa"/>
              <w:bottom w:w="80" w:type="dxa"/>
              <w:right w:w="100" w:type="dxa"/>
            </w:tcMar>
            <w:vAlign w:val="center"/>
          </w:tcPr>
          <w:p w:rsidR="00F969FF" w:rsidRDefault="00F969FF">
            <w:pPr>
              <w:jc w:val="center"/>
            </w:pPr>
            <w:r>
              <w:rPr>
                <w:b/>
                <w:bCs/>
                <w:color w:val="000000"/>
                <w:sz w:val="19"/>
                <w:szCs w:val="19"/>
              </w:rPr>
              <w:t>TR-1</w:t>
            </w:r>
            <w:r w:rsidR="004A50FF">
              <w:rPr>
                <w:b/>
                <w:bCs/>
                <w:color w:val="000000"/>
                <w:sz w:val="19"/>
                <w:szCs w:val="19"/>
              </w:rPr>
              <w:t>6</w:t>
            </w:r>
            <w:r>
              <w:rPr>
                <w:b/>
                <w:bCs/>
                <w:color w:val="000000"/>
                <w:sz w:val="19"/>
                <w:szCs w:val="19"/>
              </w:rPr>
              <w:t>02</w:t>
            </w:r>
          </w:p>
        </w:tc>
        <w:tc>
          <w:tcPr>
            <w:tcW w:w="7760" w:type="dxa"/>
            <w:shd w:val="clear" w:color="auto" w:fill="F2F2F2" w:themeFill="background2" w:themeFillShade="F2"/>
            <w:tcMar>
              <w:top w:w="80" w:type="dxa"/>
              <w:left w:w="100" w:type="dxa"/>
              <w:bottom w:w="80" w:type="dxa"/>
              <w:right w:w="100" w:type="dxa"/>
            </w:tcMar>
            <w:vAlign w:val="center"/>
          </w:tcPr>
          <w:p w:rsidR="00F969FF" w:rsidRDefault="00F969FF">
            <w:r>
              <w:rPr>
                <w:color w:val="000000"/>
                <w:sz w:val="19"/>
                <w:szCs w:val="19"/>
              </w:rPr>
              <w:t xml:space="preserve">For each </w:t>
            </w:r>
            <w:r w:rsidR="00BD7021">
              <w:rPr>
                <w:color w:val="000000"/>
                <w:sz w:val="19"/>
                <w:szCs w:val="19"/>
              </w:rPr>
              <w:t>AI</w:t>
            </w:r>
            <w:r>
              <w:rPr>
                <w:color w:val="000000"/>
                <w:sz w:val="19"/>
                <w:szCs w:val="19"/>
              </w:rPr>
              <w:t xml:space="preserve"> library, component, or product disclosed under TR-1</w:t>
            </w:r>
            <w:r w:rsidR="00BD7021">
              <w:rPr>
                <w:color w:val="000000"/>
                <w:sz w:val="19"/>
                <w:szCs w:val="19"/>
              </w:rPr>
              <w:t>6</w:t>
            </w:r>
            <w:r>
              <w:rPr>
                <w:color w:val="000000"/>
                <w:sz w:val="19"/>
                <w:szCs w:val="19"/>
              </w:rPr>
              <w:t xml:space="preserve">01, Vendor shall identify its </w:t>
            </w:r>
            <w:r w:rsidR="008856B0">
              <w:rPr>
                <w:color w:val="000000"/>
                <w:sz w:val="19"/>
                <w:szCs w:val="19"/>
              </w:rPr>
              <w:t>solution use of AI agent</w:t>
            </w:r>
            <w:r w:rsidR="00075501">
              <w:rPr>
                <w:color w:val="000000"/>
                <w:sz w:val="19"/>
                <w:szCs w:val="19"/>
              </w:rPr>
              <w:t>s or AI tools</w:t>
            </w:r>
            <w:r w:rsidR="001D1CA0">
              <w:rPr>
                <w:color w:val="000000"/>
                <w:sz w:val="19"/>
                <w:szCs w:val="19"/>
              </w:rPr>
              <w:t xml:space="preserve"> (which includes all AI types)</w:t>
            </w:r>
            <w:r w:rsidR="00075501">
              <w:rPr>
                <w:color w:val="000000"/>
                <w:sz w:val="19"/>
                <w:szCs w:val="19"/>
              </w:rPr>
              <w:t xml:space="preserve">, and </w:t>
            </w:r>
            <w:r w:rsidR="001D1CA0">
              <w:rPr>
                <w:color w:val="000000"/>
                <w:sz w:val="19"/>
                <w:szCs w:val="19"/>
              </w:rPr>
              <w:t xml:space="preserve">how </w:t>
            </w:r>
            <w:r w:rsidR="00BA159E">
              <w:rPr>
                <w:color w:val="000000"/>
                <w:sz w:val="19"/>
                <w:szCs w:val="19"/>
              </w:rPr>
              <w:t xml:space="preserve">DOR </w:t>
            </w:r>
            <w:r w:rsidR="001D1CA0">
              <w:rPr>
                <w:color w:val="000000"/>
                <w:sz w:val="19"/>
                <w:szCs w:val="19"/>
              </w:rPr>
              <w:t xml:space="preserve">data is shared with the </w:t>
            </w:r>
            <w:r w:rsidR="00BA159E">
              <w:rPr>
                <w:color w:val="000000"/>
                <w:sz w:val="19"/>
                <w:szCs w:val="19"/>
              </w:rPr>
              <w:t>AI agents and tools</w:t>
            </w:r>
            <w:r>
              <w:rPr>
                <w:color w:val="000000"/>
                <w:sz w:val="19"/>
                <w:szCs w:val="19"/>
              </w:rPr>
              <w:t>.</w:t>
            </w:r>
          </w:p>
        </w:tc>
        <w:tc>
          <w:tcPr>
            <w:tcW w:w="700" w:type="dxa"/>
            <w:shd w:val="clear" w:color="auto" w:fill="F2F2F2" w:themeFill="background2" w:themeFillShade="F2"/>
            <w:tcMar>
              <w:top w:w="80" w:type="dxa"/>
              <w:left w:w="100" w:type="dxa"/>
              <w:bottom w:w="80" w:type="dxa"/>
              <w:right w:w="100" w:type="dxa"/>
            </w:tcMar>
            <w:vAlign w:val="center"/>
          </w:tcPr>
          <w:p w:rsidR="00F969FF" w:rsidRDefault="00F969FF">
            <w:pPr>
              <w:jc w:val="center"/>
            </w:pPr>
            <w:r>
              <w:rPr>
                <w:b/>
                <w:bCs/>
                <w:color w:val="000000"/>
                <w:sz w:val="19"/>
                <w:szCs w:val="19"/>
              </w:rPr>
              <w:t>M</w:t>
            </w:r>
          </w:p>
        </w:tc>
      </w:tr>
      <w:tr w:rsidR="38641A08" w:rsidTr="38641A08">
        <w:trPr>
          <w:trHeight w:val="300"/>
        </w:trPr>
        <w:tc>
          <w:tcPr>
            <w:tcW w:w="900" w:type="dxa"/>
            <w:shd w:val="clear" w:color="auto" w:fill="F2F2F2" w:themeFill="background2" w:themeFillShade="F2"/>
            <w:tcMar>
              <w:top w:w="80" w:type="dxa"/>
              <w:left w:w="100" w:type="dxa"/>
              <w:bottom w:w="80" w:type="dxa"/>
              <w:right w:w="100" w:type="dxa"/>
            </w:tcMar>
            <w:vAlign w:val="center"/>
          </w:tcPr>
          <w:p w:rsidR="26F4D58C" w:rsidRDefault="000F26E4" w:rsidP="38641A08">
            <w:pPr>
              <w:jc w:val="center"/>
            </w:pPr>
            <w:r>
              <w:rPr>
                <w:b/>
                <w:bCs/>
                <w:color w:val="000000"/>
                <w:sz w:val="19"/>
                <w:szCs w:val="19"/>
              </w:rPr>
              <w:t>xx-xxx</w:t>
            </w:r>
          </w:p>
        </w:tc>
        <w:tc>
          <w:tcPr>
            <w:tcW w:w="7760" w:type="dxa"/>
            <w:shd w:val="clear" w:color="auto" w:fill="F2F2F2" w:themeFill="background2" w:themeFillShade="F2"/>
            <w:tcMar>
              <w:top w:w="80" w:type="dxa"/>
              <w:left w:w="100" w:type="dxa"/>
              <w:bottom w:w="80" w:type="dxa"/>
              <w:right w:w="100" w:type="dxa"/>
            </w:tcMar>
            <w:vAlign w:val="center"/>
          </w:tcPr>
          <w:p w:rsidR="26F4D58C" w:rsidRDefault="26F4D58C" w:rsidP="38641A08">
            <w:r w:rsidRPr="38641A08">
              <w:rPr>
                <w:color w:val="000000"/>
                <w:sz w:val="19"/>
                <w:szCs w:val="19"/>
              </w:rPr>
              <w:t xml:space="preserve">AI Technologies used to meet the requirements of this solution must meet all </w:t>
            </w:r>
            <w:r w:rsidR="728F3B3C" w:rsidRPr="38641A08">
              <w:rPr>
                <w:color w:val="000000"/>
                <w:sz w:val="19"/>
                <w:szCs w:val="19"/>
              </w:rPr>
              <w:t xml:space="preserve">applicable </w:t>
            </w:r>
            <w:r w:rsidRPr="38641A08">
              <w:rPr>
                <w:color w:val="000000"/>
                <w:sz w:val="19"/>
                <w:szCs w:val="19"/>
              </w:rPr>
              <w:t>obligations described in Policy DATA-04, as published and adopted by Washington Technology Solutions</w:t>
            </w:r>
            <w:r w:rsidR="3E77FC0B" w:rsidRPr="38641A08">
              <w:rPr>
                <w:color w:val="000000"/>
                <w:sz w:val="19"/>
                <w:szCs w:val="19"/>
              </w:rPr>
              <w:t xml:space="preserve">. </w:t>
            </w:r>
            <w:hyperlink r:id="rId14" w:history="1">
              <w:r w:rsidR="3E77FC0B" w:rsidRPr="38641A08">
                <w:rPr>
                  <w:rStyle w:val="Hyperlink"/>
                  <w:sz w:val="19"/>
                  <w:szCs w:val="19"/>
                </w:rPr>
                <w:t>Https://watech.wa.gov/sites/default/files/2025-12/DATA-04_AI_Policy.pdf</w:t>
              </w:r>
            </w:hyperlink>
          </w:p>
          <w:p w:rsidR="38641A08" w:rsidRDefault="38641A08" w:rsidP="38641A08">
            <w:pPr>
              <w:rPr>
                <w:color w:val="000000"/>
                <w:sz w:val="19"/>
                <w:szCs w:val="19"/>
              </w:rPr>
            </w:pPr>
          </w:p>
        </w:tc>
        <w:tc>
          <w:tcPr>
            <w:tcW w:w="700" w:type="dxa"/>
            <w:shd w:val="clear" w:color="auto" w:fill="F2F2F2" w:themeFill="background2" w:themeFillShade="F2"/>
            <w:tcMar>
              <w:top w:w="80" w:type="dxa"/>
              <w:left w:w="100" w:type="dxa"/>
              <w:bottom w:w="80" w:type="dxa"/>
              <w:right w:w="100" w:type="dxa"/>
            </w:tcMar>
            <w:vAlign w:val="center"/>
          </w:tcPr>
          <w:p w:rsidR="38641A08" w:rsidRDefault="007700BE" w:rsidP="38641A08">
            <w:pPr>
              <w:jc w:val="center"/>
              <w:rPr>
                <w:b/>
                <w:bCs/>
                <w:color w:val="000000"/>
                <w:sz w:val="19"/>
                <w:szCs w:val="19"/>
              </w:rPr>
            </w:pPr>
            <w:r>
              <w:rPr>
                <w:b/>
                <w:bCs/>
                <w:color w:val="000000"/>
                <w:sz w:val="19"/>
                <w:szCs w:val="19"/>
              </w:rPr>
              <w:t>M</w:t>
            </w:r>
          </w:p>
        </w:tc>
      </w:tr>
    </w:tbl>
    <w:p w:rsidR="00F969FF" w:rsidRDefault="00F969FF">
      <w:pPr>
        <w:spacing w:after="200"/>
      </w:pPr>
    </w:p>
    <w:p w:rsidR="008F1637" w:rsidRDefault="00645877">
      <w:pPr>
        <w:pStyle w:val="Heading2"/>
      </w:pPr>
      <w:r>
        <w:rPr>
          <w:b/>
          <w:bCs/>
          <w:color w:val="1F3864"/>
          <w:sz w:val="24"/>
          <w:szCs w:val="24"/>
        </w:rPr>
        <w:t>4.1</w:t>
      </w:r>
      <w:r w:rsidR="00E92AAB">
        <w:rPr>
          <w:b/>
          <w:bCs/>
          <w:color w:val="1F3864"/>
          <w:sz w:val="24"/>
          <w:szCs w:val="24"/>
        </w:rPr>
        <w:t>7</w:t>
      </w:r>
      <w:r>
        <w:rPr>
          <w:b/>
          <w:bCs/>
          <w:color w:val="1F3864"/>
          <w:sz w:val="24"/>
          <w:szCs w:val="24"/>
        </w:rPr>
        <w:t xml:space="preserve">  Documentation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60"/>
        <w:gridCol w:w="700"/>
      </w:tblGrid>
      <w:tr w:rsidR="008F1637">
        <w:trPr>
          <w:tblHeader/>
        </w:trPr>
        <w:tc>
          <w:tcPr>
            <w:tcW w:w="9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ID</w:t>
            </w:r>
          </w:p>
        </w:tc>
        <w:tc>
          <w:tcPr>
            <w:tcW w:w="7760" w:type="dxa"/>
            <w:shd w:val="clear" w:color="auto" w:fill="1F3864"/>
            <w:tcMar>
              <w:top w:w="80" w:type="dxa"/>
              <w:left w:w="100" w:type="dxa"/>
              <w:bottom w:w="80" w:type="dxa"/>
              <w:right w:w="100" w:type="dxa"/>
            </w:tcMar>
            <w:vAlign w:val="center"/>
          </w:tcPr>
          <w:p w:rsidR="008F1637" w:rsidRDefault="00645877">
            <w:r>
              <w:rPr>
                <w:b/>
                <w:bCs/>
                <w:color w:val="FFFFFF"/>
                <w:sz w:val="19"/>
                <w:szCs w:val="19"/>
              </w:rPr>
              <w:t>Requirement</w:t>
            </w:r>
          </w:p>
        </w:tc>
        <w:tc>
          <w:tcPr>
            <w:tcW w:w="700" w:type="dxa"/>
            <w:shd w:val="clear" w:color="auto" w:fill="1F3864"/>
            <w:tcMar>
              <w:top w:w="80" w:type="dxa"/>
              <w:left w:w="100" w:type="dxa"/>
              <w:bottom w:w="80" w:type="dxa"/>
              <w:right w:w="100" w:type="dxa"/>
            </w:tcMar>
            <w:vAlign w:val="center"/>
          </w:tcPr>
          <w:p w:rsidR="008F1637" w:rsidRDefault="00645877">
            <w:pPr>
              <w:jc w:val="center"/>
            </w:pPr>
            <w:r>
              <w:rPr>
                <w:b/>
                <w:bCs/>
                <w:color w:val="FFFFFF"/>
                <w:sz w:val="19"/>
                <w:szCs w:val="19"/>
              </w:rPr>
              <w:t>Type</w:t>
            </w:r>
          </w:p>
        </w:tc>
      </w:tr>
      <w:tr w:rsidR="008F1637">
        <w:tc>
          <w:tcPr>
            <w:tcW w:w="9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TR-1</w:t>
            </w:r>
            <w:r w:rsidR="004A50FF">
              <w:rPr>
                <w:b/>
                <w:bCs/>
                <w:color w:val="000000"/>
                <w:sz w:val="19"/>
                <w:szCs w:val="19"/>
              </w:rPr>
              <w:t>7</w:t>
            </w:r>
            <w:r>
              <w:rPr>
                <w:b/>
                <w:bCs/>
                <w:color w:val="000000"/>
                <w:sz w:val="19"/>
                <w:szCs w:val="19"/>
              </w:rPr>
              <w:t>01</w:t>
            </w:r>
          </w:p>
        </w:tc>
        <w:tc>
          <w:tcPr>
            <w:tcW w:w="7760" w:type="dxa"/>
            <w:shd w:val="clear" w:color="auto" w:fill="FFFFFF"/>
            <w:tcMar>
              <w:top w:w="80" w:type="dxa"/>
              <w:left w:w="100" w:type="dxa"/>
              <w:bottom w:w="80" w:type="dxa"/>
              <w:right w:w="100" w:type="dxa"/>
            </w:tcMar>
            <w:vAlign w:val="center"/>
          </w:tcPr>
          <w:p w:rsidR="008F1637" w:rsidRDefault="00645877">
            <w:r>
              <w:rPr>
                <w:color w:val="000000"/>
                <w:sz w:val="19"/>
                <w:szCs w:val="19"/>
              </w:rPr>
              <w:t>Vendor shall deliver, at minimum: system architecture documentation, data dictionary/ER diagrams, API documentation, deployment/runbook or operations documentation, security documentation, and end-user/administrator documentation.</w:t>
            </w:r>
          </w:p>
        </w:tc>
        <w:tc>
          <w:tcPr>
            <w:tcW w:w="700" w:type="dxa"/>
            <w:shd w:val="clear" w:color="auto" w:fill="FFFFFF"/>
            <w:tcMar>
              <w:top w:w="80" w:type="dxa"/>
              <w:left w:w="100" w:type="dxa"/>
              <w:bottom w:w="80" w:type="dxa"/>
              <w:right w:w="100" w:type="dxa"/>
            </w:tcMar>
            <w:vAlign w:val="center"/>
          </w:tcPr>
          <w:p w:rsidR="008F1637" w:rsidRDefault="00645877">
            <w:pPr>
              <w:jc w:val="center"/>
            </w:pPr>
            <w:r>
              <w:rPr>
                <w:b/>
                <w:bCs/>
                <w:color w:val="000000"/>
                <w:sz w:val="19"/>
                <w:szCs w:val="19"/>
              </w:rPr>
              <w:t>M</w:t>
            </w:r>
          </w:p>
        </w:tc>
      </w:tr>
      <w:tr w:rsidR="008F1637">
        <w:tc>
          <w:tcPr>
            <w:tcW w:w="9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TR-1</w:t>
            </w:r>
            <w:r w:rsidR="004A50FF">
              <w:rPr>
                <w:b/>
                <w:bCs/>
                <w:color w:val="000000"/>
                <w:sz w:val="19"/>
                <w:szCs w:val="19"/>
              </w:rPr>
              <w:t>7</w:t>
            </w:r>
            <w:r>
              <w:rPr>
                <w:b/>
                <w:bCs/>
                <w:color w:val="000000"/>
                <w:sz w:val="19"/>
                <w:szCs w:val="19"/>
              </w:rPr>
              <w:t>02</w:t>
            </w:r>
          </w:p>
        </w:tc>
        <w:tc>
          <w:tcPr>
            <w:tcW w:w="7760" w:type="dxa"/>
            <w:shd w:val="clear" w:color="auto" w:fill="F2F2F2"/>
            <w:tcMar>
              <w:top w:w="80" w:type="dxa"/>
              <w:left w:w="100" w:type="dxa"/>
              <w:bottom w:w="80" w:type="dxa"/>
              <w:right w:w="100" w:type="dxa"/>
            </w:tcMar>
            <w:vAlign w:val="center"/>
          </w:tcPr>
          <w:p w:rsidR="008F1637" w:rsidRDefault="00645877">
            <w:r>
              <w:rPr>
                <w:color w:val="000000"/>
                <w:sz w:val="19"/>
                <w:szCs w:val="19"/>
              </w:rPr>
              <w:t>All documentation shall be delivered in an editable, DOR-standard format (Markdown or Microsoft Word) and stored in a location accessible to DOR without Vendor involvement.</w:t>
            </w:r>
          </w:p>
        </w:tc>
        <w:tc>
          <w:tcPr>
            <w:tcW w:w="700" w:type="dxa"/>
            <w:shd w:val="clear" w:color="auto" w:fill="F2F2F2"/>
            <w:tcMar>
              <w:top w:w="80" w:type="dxa"/>
              <w:left w:w="100" w:type="dxa"/>
              <w:bottom w:w="80" w:type="dxa"/>
              <w:right w:w="100" w:type="dxa"/>
            </w:tcMar>
            <w:vAlign w:val="center"/>
          </w:tcPr>
          <w:p w:rsidR="008F1637" w:rsidRDefault="00645877">
            <w:pPr>
              <w:jc w:val="center"/>
            </w:pPr>
            <w:r>
              <w:rPr>
                <w:b/>
                <w:bCs/>
                <w:color w:val="000000"/>
                <w:sz w:val="19"/>
                <w:szCs w:val="19"/>
              </w:rPr>
              <w:t>M</w:t>
            </w:r>
          </w:p>
        </w:tc>
      </w:tr>
    </w:tbl>
    <w:p w:rsidR="008F1637" w:rsidRDefault="008F1637">
      <w:pPr>
        <w:spacing w:after="200"/>
      </w:pPr>
    </w:p>
    <w:p w:rsidR="008F1637" w:rsidRDefault="008F1637" w:rsidP="00AE1ED6"/>
    <w:sectPr w:rsidR="008F1637">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7FCC" w:rsidRDefault="005A7FCC">
      <w:r>
        <w:separator/>
      </w:r>
    </w:p>
  </w:endnote>
  <w:endnote w:type="continuationSeparator" w:id="0">
    <w:p w:rsidR="005A7FCC" w:rsidRDefault="005A7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3F79" w:rsidRDefault="00433F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1637" w:rsidRDefault="00645877">
    <w:pPr>
      <w:tabs>
        <w:tab w:val="right" w:pos="9026"/>
      </w:tabs>
    </w:pPr>
    <w:r>
      <w:rPr>
        <w:color w:val="595959"/>
        <w:sz w:val="16"/>
        <w:szCs w:val="16"/>
      </w:rPr>
      <w:t>Washington State Department of Revenue – Information Services</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030A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030AB">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3F79" w:rsidRDefault="00433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7FCC" w:rsidRDefault="005A7FCC">
      <w:r>
        <w:separator/>
      </w:r>
    </w:p>
  </w:footnote>
  <w:footnote w:type="continuationSeparator" w:id="0">
    <w:p w:rsidR="005A7FCC" w:rsidRDefault="005A7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5D50" w:rsidRPr="00BB5D50" w:rsidRDefault="00C31A6B" w:rsidP="00BB5D50">
    <w:pPr>
      <w:pStyle w:val="Header"/>
      <w:tabs>
        <w:tab w:val="clear" w:pos="4680"/>
        <w:tab w:val="clear" w:pos="9360"/>
        <w:tab w:val="left" w:pos="1130"/>
      </w:tabs>
      <w:jc w:val="right"/>
      <w:rPr>
        <w:rFonts w:ascii="Aptos" w:hAnsi="Aptos" w:cs="Times New Roman"/>
        <w:color w:val="1F4E79"/>
        <w:sz w:val="32"/>
        <w:szCs w:val="34"/>
      </w:rPr>
    </w:pPr>
    <w:r>
      <w:rPr>
        <w:noProof/>
      </w:rPr>
      <w:drawing>
        <wp:anchor distT="0" distB="0" distL="114300" distR="114300" simplePos="0" relativeHeight="251658240" behindDoc="0" locked="0" layoutInCell="1" allowOverlap="1" wp14:anchorId="79EEC62D" wp14:editId="22AEA83E">
          <wp:simplePos x="0" y="0"/>
          <wp:positionH relativeFrom="margin">
            <wp:align>left</wp:align>
          </wp:positionH>
          <wp:positionV relativeFrom="paragraph">
            <wp:posOffset>7620</wp:posOffset>
          </wp:positionV>
          <wp:extent cx="975360" cy="396240"/>
          <wp:effectExtent l="0" t="0" r="0" b="3810"/>
          <wp:wrapThrough wrapText="bothSides">
            <wp:wrapPolygon edited="0">
              <wp:start x="0" y="0"/>
              <wp:lineTo x="0" y="20769"/>
              <wp:lineTo x="21094" y="20769"/>
              <wp:lineTo x="21094" y="0"/>
              <wp:lineTo x="0" y="0"/>
            </wp:wrapPolygon>
          </wp:wrapThrough>
          <wp:docPr id="1" name="Picture 1" descr="Logo_color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go_color_horizont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5360" cy="396240"/>
                  </a:xfrm>
                  <a:prstGeom prst="rect">
                    <a:avLst/>
                  </a:prstGeom>
                  <a:noFill/>
                  <a:ln>
                    <a:noFill/>
                  </a:ln>
                </pic:spPr>
              </pic:pic>
            </a:graphicData>
          </a:graphic>
          <wp14:sizeRelH relativeFrom="page">
            <wp14:pctWidth>0</wp14:pctWidth>
          </wp14:sizeRelH>
          <wp14:sizeRelV relativeFrom="page">
            <wp14:pctHeight>0</wp14:pctHeight>
          </wp14:sizeRelV>
        </wp:anchor>
      </w:drawing>
    </w:r>
    <w:r w:rsidR="00BB5D50" w:rsidRPr="00BB5D50">
      <w:rPr>
        <w:rFonts w:ascii="Aptos" w:hAnsi="Aptos" w:cs="Times New Roman"/>
        <w:color w:val="1F4E79"/>
        <w:sz w:val="32"/>
        <w:szCs w:val="34"/>
      </w:rPr>
      <w:t xml:space="preserve">Exhibit </w:t>
    </w:r>
    <w:r w:rsidR="00295EA8">
      <w:rPr>
        <w:rFonts w:ascii="Aptos" w:hAnsi="Aptos" w:cs="Times New Roman"/>
        <w:color w:val="1F4E79"/>
        <w:sz w:val="32"/>
        <w:szCs w:val="34"/>
      </w:rPr>
      <w:t>B</w:t>
    </w:r>
    <w:r w:rsidR="00BB5D50" w:rsidRPr="00BB5D50">
      <w:rPr>
        <w:rFonts w:ascii="Aptos" w:hAnsi="Aptos" w:cs="Times New Roman"/>
        <w:color w:val="1F4E79"/>
        <w:sz w:val="32"/>
        <w:szCs w:val="34"/>
      </w:rPr>
      <w:t xml:space="preserve"> – </w:t>
    </w:r>
    <w:r w:rsidR="00493026">
      <w:rPr>
        <w:rFonts w:ascii="Aptos" w:hAnsi="Aptos" w:cs="Times New Roman"/>
        <w:color w:val="1F4E79"/>
        <w:sz w:val="32"/>
        <w:szCs w:val="34"/>
      </w:rPr>
      <w:t>Technical Requirements</w:t>
    </w:r>
  </w:p>
  <w:p w:rsidR="008F1637" w:rsidRDefault="00BB5D50" w:rsidP="00BB5D50">
    <w:pPr>
      <w:pBdr>
        <w:bottom w:val="single" w:sz="4" w:space="4" w:color="D9D9D9"/>
      </w:pBdr>
      <w:tabs>
        <w:tab w:val="right" w:pos="9026"/>
      </w:tabs>
      <w:jc w:val="right"/>
    </w:pPr>
    <w:r w:rsidRPr="00BB5D50">
      <w:rPr>
        <w:rFonts w:ascii="Aptos" w:hAnsi="Aptos" w:cs="Times New Roman"/>
        <w:b/>
        <w:color w:val="1F4E79"/>
        <w:sz w:val="32"/>
        <w:szCs w:val="32"/>
      </w:rPr>
      <w:t>RFP 20226-02 Legislative Tracking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3F79" w:rsidRDefault="00433F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FAF"/>
    <w:multiLevelType w:val="hybridMultilevel"/>
    <w:tmpl w:val="6602BD70"/>
    <w:lvl w:ilvl="0" w:tplc="F4DE7A78">
      <w:start w:val="1"/>
      <w:numFmt w:val="bullet"/>
      <w:lvlText w:val=""/>
      <w:lvlJc w:val="left"/>
      <w:pPr>
        <w:ind w:left="1020" w:hanging="360"/>
      </w:pPr>
      <w:rPr>
        <w:rFonts w:ascii="Symbol" w:hAnsi="Symbol"/>
      </w:rPr>
    </w:lvl>
    <w:lvl w:ilvl="1" w:tplc="E3F27840">
      <w:start w:val="1"/>
      <w:numFmt w:val="bullet"/>
      <w:lvlText w:val=""/>
      <w:lvlJc w:val="left"/>
      <w:pPr>
        <w:ind w:left="1020" w:hanging="360"/>
      </w:pPr>
      <w:rPr>
        <w:rFonts w:ascii="Symbol" w:hAnsi="Symbol"/>
      </w:rPr>
    </w:lvl>
    <w:lvl w:ilvl="2" w:tplc="C9B81ACA">
      <w:start w:val="1"/>
      <w:numFmt w:val="bullet"/>
      <w:lvlText w:val=""/>
      <w:lvlJc w:val="left"/>
      <w:pPr>
        <w:ind w:left="1020" w:hanging="360"/>
      </w:pPr>
      <w:rPr>
        <w:rFonts w:ascii="Symbol" w:hAnsi="Symbol"/>
      </w:rPr>
    </w:lvl>
    <w:lvl w:ilvl="3" w:tplc="158E674C">
      <w:start w:val="1"/>
      <w:numFmt w:val="bullet"/>
      <w:lvlText w:val=""/>
      <w:lvlJc w:val="left"/>
      <w:pPr>
        <w:ind w:left="1020" w:hanging="360"/>
      </w:pPr>
      <w:rPr>
        <w:rFonts w:ascii="Symbol" w:hAnsi="Symbol"/>
      </w:rPr>
    </w:lvl>
    <w:lvl w:ilvl="4" w:tplc="32B25D8A">
      <w:start w:val="1"/>
      <w:numFmt w:val="bullet"/>
      <w:lvlText w:val=""/>
      <w:lvlJc w:val="left"/>
      <w:pPr>
        <w:ind w:left="1020" w:hanging="360"/>
      </w:pPr>
      <w:rPr>
        <w:rFonts w:ascii="Symbol" w:hAnsi="Symbol"/>
      </w:rPr>
    </w:lvl>
    <w:lvl w:ilvl="5" w:tplc="DA4AD7DE">
      <w:start w:val="1"/>
      <w:numFmt w:val="bullet"/>
      <w:lvlText w:val=""/>
      <w:lvlJc w:val="left"/>
      <w:pPr>
        <w:ind w:left="1020" w:hanging="360"/>
      </w:pPr>
      <w:rPr>
        <w:rFonts w:ascii="Symbol" w:hAnsi="Symbol"/>
      </w:rPr>
    </w:lvl>
    <w:lvl w:ilvl="6" w:tplc="0C8826AE">
      <w:start w:val="1"/>
      <w:numFmt w:val="bullet"/>
      <w:lvlText w:val=""/>
      <w:lvlJc w:val="left"/>
      <w:pPr>
        <w:ind w:left="1020" w:hanging="360"/>
      </w:pPr>
      <w:rPr>
        <w:rFonts w:ascii="Symbol" w:hAnsi="Symbol"/>
      </w:rPr>
    </w:lvl>
    <w:lvl w:ilvl="7" w:tplc="5E985C16">
      <w:start w:val="1"/>
      <w:numFmt w:val="bullet"/>
      <w:lvlText w:val=""/>
      <w:lvlJc w:val="left"/>
      <w:pPr>
        <w:ind w:left="1020" w:hanging="360"/>
      </w:pPr>
      <w:rPr>
        <w:rFonts w:ascii="Symbol" w:hAnsi="Symbol"/>
      </w:rPr>
    </w:lvl>
    <w:lvl w:ilvl="8" w:tplc="393E62EA">
      <w:start w:val="1"/>
      <w:numFmt w:val="bullet"/>
      <w:lvlText w:val=""/>
      <w:lvlJc w:val="left"/>
      <w:pPr>
        <w:ind w:left="1020" w:hanging="360"/>
      </w:pPr>
      <w:rPr>
        <w:rFonts w:ascii="Symbol" w:hAnsi="Symbol"/>
      </w:rPr>
    </w:lvl>
  </w:abstractNum>
  <w:abstractNum w:abstractNumId="1" w15:restartNumberingAfterBreak="0">
    <w:nsid w:val="6778256B"/>
    <w:multiLevelType w:val="hybridMultilevel"/>
    <w:tmpl w:val="4ED6FD02"/>
    <w:lvl w:ilvl="0" w:tplc="C2D61C7E">
      <w:start w:val="1"/>
      <w:numFmt w:val="bullet"/>
      <w:lvlText w:val=""/>
      <w:lvlJc w:val="left"/>
      <w:pPr>
        <w:ind w:left="1020" w:hanging="360"/>
      </w:pPr>
      <w:rPr>
        <w:rFonts w:ascii="Symbol" w:hAnsi="Symbol"/>
      </w:rPr>
    </w:lvl>
    <w:lvl w:ilvl="1" w:tplc="507649D0">
      <w:start w:val="1"/>
      <w:numFmt w:val="bullet"/>
      <w:lvlText w:val=""/>
      <w:lvlJc w:val="left"/>
      <w:pPr>
        <w:ind w:left="1020" w:hanging="360"/>
      </w:pPr>
      <w:rPr>
        <w:rFonts w:ascii="Symbol" w:hAnsi="Symbol"/>
      </w:rPr>
    </w:lvl>
    <w:lvl w:ilvl="2" w:tplc="469E6FD0">
      <w:start w:val="1"/>
      <w:numFmt w:val="bullet"/>
      <w:lvlText w:val=""/>
      <w:lvlJc w:val="left"/>
      <w:pPr>
        <w:ind w:left="1020" w:hanging="360"/>
      </w:pPr>
      <w:rPr>
        <w:rFonts w:ascii="Symbol" w:hAnsi="Symbol"/>
      </w:rPr>
    </w:lvl>
    <w:lvl w:ilvl="3" w:tplc="0B762138">
      <w:start w:val="1"/>
      <w:numFmt w:val="bullet"/>
      <w:lvlText w:val=""/>
      <w:lvlJc w:val="left"/>
      <w:pPr>
        <w:ind w:left="1020" w:hanging="360"/>
      </w:pPr>
      <w:rPr>
        <w:rFonts w:ascii="Symbol" w:hAnsi="Symbol"/>
      </w:rPr>
    </w:lvl>
    <w:lvl w:ilvl="4" w:tplc="E82468FC">
      <w:start w:val="1"/>
      <w:numFmt w:val="bullet"/>
      <w:lvlText w:val=""/>
      <w:lvlJc w:val="left"/>
      <w:pPr>
        <w:ind w:left="1020" w:hanging="360"/>
      </w:pPr>
      <w:rPr>
        <w:rFonts w:ascii="Symbol" w:hAnsi="Symbol"/>
      </w:rPr>
    </w:lvl>
    <w:lvl w:ilvl="5" w:tplc="1B923070">
      <w:start w:val="1"/>
      <w:numFmt w:val="bullet"/>
      <w:lvlText w:val=""/>
      <w:lvlJc w:val="left"/>
      <w:pPr>
        <w:ind w:left="1020" w:hanging="360"/>
      </w:pPr>
      <w:rPr>
        <w:rFonts w:ascii="Symbol" w:hAnsi="Symbol"/>
      </w:rPr>
    </w:lvl>
    <w:lvl w:ilvl="6" w:tplc="A734E5C6">
      <w:start w:val="1"/>
      <w:numFmt w:val="bullet"/>
      <w:lvlText w:val=""/>
      <w:lvlJc w:val="left"/>
      <w:pPr>
        <w:ind w:left="1020" w:hanging="360"/>
      </w:pPr>
      <w:rPr>
        <w:rFonts w:ascii="Symbol" w:hAnsi="Symbol"/>
      </w:rPr>
    </w:lvl>
    <w:lvl w:ilvl="7" w:tplc="91ACDD90">
      <w:start w:val="1"/>
      <w:numFmt w:val="bullet"/>
      <w:lvlText w:val=""/>
      <w:lvlJc w:val="left"/>
      <w:pPr>
        <w:ind w:left="1020" w:hanging="360"/>
      </w:pPr>
      <w:rPr>
        <w:rFonts w:ascii="Symbol" w:hAnsi="Symbol"/>
      </w:rPr>
    </w:lvl>
    <w:lvl w:ilvl="8" w:tplc="8B12AAB4">
      <w:start w:val="1"/>
      <w:numFmt w:val="bullet"/>
      <w:lvlText w:val=""/>
      <w:lvlJc w:val="left"/>
      <w:pPr>
        <w:ind w:left="1020" w:hanging="360"/>
      </w:pPr>
      <w:rPr>
        <w:rFonts w:ascii="Symbol" w:hAnsi="Symbol"/>
      </w:rPr>
    </w:lvl>
  </w:abstractNum>
  <w:abstractNum w:abstractNumId="2" w15:restartNumberingAfterBreak="0">
    <w:nsid w:val="67974B03"/>
    <w:multiLevelType w:val="hybridMultilevel"/>
    <w:tmpl w:val="EDB83010"/>
    <w:lvl w:ilvl="0" w:tplc="2CB0EA28">
      <w:start w:val="1"/>
      <w:numFmt w:val="bullet"/>
      <w:lvlText w:val="●"/>
      <w:lvlJc w:val="left"/>
      <w:pPr>
        <w:ind w:left="720" w:hanging="360"/>
      </w:pPr>
    </w:lvl>
    <w:lvl w:ilvl="1" w:tplc="89806C88">
      <w:start w:val="1"/>
      <w:numFmt w:val="bullet"/>
      <w:lvlText w:val="○"/>
      <w:lvlJc w:val="left"/>
      <w:pPr>
        <w:ind w:left="1440" w:hanging="360"/>
      </w:pPr>
    </w:lvl>
    <w:lvl w:ilvl="2" w:tplc="317E3CD8">
      <w:start w:val="1"/>
      <w:numFmt w:val="bullet"/>
      <w:lvlText w:val="■"/>
      <w:lvlJc w:val="left"/>
      <w:pPr>
        <w:ind w:left="2160" w:hanging="360"/>
      </w:pPr>
    </w:lvl>
    <w:lvl w:ilvl="3" w:tplc="9CCE37E2">
      <w:start w:val="1"/>
      <w:numFmt w:val="bullet"/>
      <w:lvlText w:val="●"/>
      <w:lvlJc w:val="left"/>
      <w:pPr>
        <w:ind w:left="2880" w:hanging="360"/>
      </w:pPr>
    </w:lvl>
    <w:lvl w:ilvl="4" w:tplc="668461F8">
      <w:start w:val="1"/>
      <w:numFmt w:val="bullet"/>
      <w:lvlText w:val="○"/>
      <w:lvlJc w:val="left"/>
      <w:pPr>
        <w:ind w:left="3600" w:hanging="360"/>
      </w:pPr>
    </w:lvl>
    <w:lvl w:ilvl="5" w:tplc="0358807A">
      <w:start w:val="1"/>
      <w:numFmt w:val="bullet"/>
      <w:lvlText w:val="■"/>
      <w:lvlJc w:val="left"/>
      <w:pPr>
        <w:ind w:left="4320" w:hanging="360"/>
      </w:pPr>
    </w:lvl>
    <w:lvl w:ilvl="6" w:tplc="60089FEE">
      <w:start w:val="1"/>
      <w:numFmt w:val="bullet"/>
      <w:lvlText w:val="●"/>
      <w:lvlJc w:val="left"/>
      <w:pPr>
        <w:ind w:left="5040" w:hanging="360"/>
      </w:pPr>
    </w:lvl>
    <w:lvl w:ilvl="7" w:tplc="F31AB126">
      <w:start w:val="1"/>
      <w:numFmt w:val="bullet"/>
      <w:lvlText w:val="●"/>
      <w:lvlJc w:val="left"/>
      <w:pPr>
        <w:ind w:left="5760" w:hanging="360"/>
      </w:pPr>
    </w:lvl>
    <w:lvl w:ilvl="8" w:tplc="93C0920E">
      <w:start w:val="1"/>
      <w:numFmt w:val="bullet"/>
      <w:lvlText w:val="●"/>
      <w:lvlJc w:val="left"/>
      <w:pPr>
        <w:ind w:left="6480" w:hanging="360"/>
      </w:pPr>
    </w:lvl>
  </w:abstractNum>
  <w:num w:numId="1" w16cid:durableId="1180658826">
    <w:abstractNumId w:val="2"/>
    <w:lvlOverride w:ilvl="0">
      <w:startOverride w:val="1"/>
    </w:lvlOverride>
  </w:num>
  <w:num w:numId="2" w16cid:durableId="139926998">
    <w:abstractNumId w:val="0"/>
  </w:num>
  <w:num w:numId="3" w16cid:durableId="769932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637"/>
    <w:rsid w:val="0000222E"/>
    <w:rsid w:val="000030AB"/>
    <w:rsid w:val="00005886"/>
    <w:rsid w:val="00013652"/>
    <w:rsid w:val="00014471"/>
    <w:rsid w:val="000144BB"/>
    <w:rsid w:val="000162B2"/>
    <w:rsid w:val="00021AFE"/>
    <w:rsid w:val="00024D23"/>
    <w:rsid w:val="00031080"/>
    <w:rsid w:val="00042892"/>
    <w:rsid w:val="00043DB0"/>
    <w:rsid w:val="0005061A"/>
    <w:rsid w:val="00062F21"/>
    <w:rsid w:val="0006312F"/>
    <w:rsid w:val="00065D07"/>
    <w:rsid w:val="00073E45"/>
    <w:rsid w:val="00075501"/>
    <w:rsid w:val="000771AC"/>
    <w:rsid w:val="00077350"/>
    <w:rsid w:val="000828CB"/>
    <w:rsid w:val="00090480"/>
    <w:rsid w:val="000936A5"/>
    <w:rsid w:val="00093EDB"/>
    <w:rsid w:val="000A0FD5"/>
    <w:rsid w:val="000A30D0"/>
    <w:rsid w:val="000A30E3"/>
    <w:rsid w:val="000A49C4"/>
    <w:rsid w:val="000A7B3C"/>
    <w:rsid w:val="000B7B21"/>
    <w:rsid w:val="000C1113"/>
    <w:rsid w:val="000C1301"/>
    <w:rsid w:val="000C2B14"/>
    <w:rsid w:val="000C38F7"/>
    <w:rsid w:val="000C6DC6"/>
    <w:rsid w:val="000D1E44"/>
    <w:rsid w:val="000D3AB1"/>
    <w:rsid w:val="000E1AC2"/>
    <w:rsid w:val="000F065B"/>
    <w:rsid w:val="000F14EA"/>
    <w:rsid w:val="000F26E4"/>
    <w:rsid w:val="000F4E14"/>
    <w:rsid w:val="000F74CF"/>
    <w:rsid w:val="001016B9"/>
    <w:rsid w:val="00104347"/>
    <w:rsid w:val="001055D2"/>
    <w:rsid w:val="00105B36"/>
    <w:rsid w:val="0011604A"/>
    <w:rsid w:val="001226F9"/>
    <w:rsid w:val="00124E69"/>
    <w:rsid w:val="001316A0"/>
    <w:rsid w:val="00131CCD"/>
    <w:rsid w:val="001320C0"/>
    <w:rsid w:val="00133670"/>
    <w:rsid w:val="00133E52"/>
    <w:rsid w:val="001340AE"/>
    <w:rsid w:val="00135B76"/>
    <w:rsid w:val="00137038"/>
    <w:rsid w:val="0014147E"/>
    <w:rsid w:val="0014583A"/>
    <w:rsid w:val="00147BEA"/>
    <w:rsid w:val="0015527A"/>
    <w:rsid w:val="00157598"/>
    <w:rsid w:val="00164FE4"/>
    <w:rsid w:val="00175F45"/>
    <w:rsid w:val="001778EF"/>
    <w:rsid w:val="001826DE"/>
    <w:rsid w:val="00190B23"/>
    <w:rsid w:val="001A53AF"/>
    <w:rsid w:val="001A5543"/>
    <w:rsid w:val="001A7E24"/>
    <w:rsid w:val="001B08DA"/>
    <w:rsid w:val="001B63C6"/>
    <w:rsid w:val="001B797B"/>
    <w:rsid w:val="001C2716"/>
    <w:rsid w:val="001C590E"/>
    <w:rsid w:val="001D1CA0"/>
    <w:rsid w:val="001E6088"/>
    <w:rsid w:val="001F2C4B"/>
    <w:rsid w:val="001F530A"/>
    <w:rsid w:val="001F68A5"/>
    <w:rsid w:val="002016EA"/>
    <w:rsid w:val="0020301B"/>
    <w:rsid w:val="002120EE"/>
    <w:rsid w:val="002207ED"/>
    <w:rsid w:val="00224B2C"/>
    <w:rsid w:val="00224F28"/>
    <w:rsid w:val="00226ED1"/>
    <w:rsid w:val="0023593D"/>
    <w:rsid w:val="00242BEF"/>
    <w:rsid w:val="002444CE"/>
    <w:rsid w:val="00244744"/>
    <w:rsid w:val="00246672"/>
    <w:rsid w:val="002507CA"/>
    <w:rsid w:val="00252A78"/>
    <w:rsid w:val="00264555"/>
    <w:rsid w:val="00264654"/>
    <w:rsid w:val="00270824"/>
    <w:rsid w:val="002754C2"/>
    <w:rsid w:val="002769B8"/>
    <w:rsid w:val="00283CC6"/>
    <w:rsid w:val="002841EB"/>
    <w:rsid w:val="0028426E"/>
    <w:rsid w:val="00290866"/>
    <w:rsid w:val="00290D26"/>
    <w:rsid w:val="00291341"/>
    <w:rsid w:val="00292416"/>
    <w:rsid w:val="00295EA8"/>
    <w:rsid w:val="00297153"/>
    <w:rsid w:val="002A1809"/>
    <w:rsid w:val="002A24A9"/>
    <w:rsid w:val="002A51D5"/>
    <w:rsid w:val="002A5698"/>
    <w:rsid w:val="002A5F9D"/>
    <w:rsid w:val="002B0922"/>
    <w:rsid w:val="002B2625"/>
    <w:rsid w:val="002B5896"/>
    <w:rsid w:val="002B7DFF"/>
    <w:rsid w:val="002C62D7"/>
    <w:rsid w:val="002C7DAD"/>
    <w:rsid w:val="002D0ABC"/>
    <w:rsid w:val="002D0F74"/>
    <w:rsid w:val="002D2178"/>
    <w:rsid w:val="002E0F85"/>
    <w:rsid w:val="002E1CA2"/>
    <w:rsid w:val="002E2378"/>
    <w:rsid w:val="002E488F"/>
    <w:rsid w:val="002E684D"/>
    <w:rsid w:val="002F2E4A"/>
    <w:rsid w:val="002F2EB4"/>
    <w:rsid w:val="00302ED8"/>
    <w:rsid w:val="00303FD3"/>
    <w:rsid w:val="00305AE1"/>
    <w:rsid w:val="003061FB"/>
    <w:rsid w:val="00312B64"/>
    <w:rsid w:val="00313422"/>
    <w:rsid w:val="003137C2"/>
    <w:rsid w:val="00315839"/>
    <w:rsid w:val="003221C2"/>
    <w:rsid w:val="00333035"/>
    <w:rsid w:val="0033616F"/>
    <w:rsid w:val="00336B1C"/>
    <w:rsid w:val="003406E7"/>
    <w:rsid w:val="00342653"/>
    <w:rsid w:val="00346865"/>
    <w:rsid w:val="003553A9"/>
    <w:rsid w:val="0035679F"/>
    <w:rsid w:val="00365EE1"/>
    <w:rsid w:val="00370891"/>
    <w:rsid w:val="00374EF7"/>
    <w:rsid w:val="00376580"/>
    <w:rsid w:val="00380FE8"/>
    <w:rsid w:val="00385341"/>
    <w:rsid w:val="003915A9"/>
    <w:rsid w:val="003934DA"/>
    <w:rsid w:val="00394362"/>
    <w:rsid w:val="003A1070"/>
    <w:rsid w:val="003A2A95"/>
    <w:rsid w:val="003A762B"/>
    <w:rsid w:val="003B1132"/>
    <w:rsid w:val="003B22D7"/>
    <w:rsid w:val="003B2968"/>
    <w:rsid w:val="003B5681"/>
    <w:rsid w:val="003B6D62"/>
    <w:rsid w:val="003B72C0"/>
    <w:rsid w:val="003C199D"/>
    <w:rsid w:val="003C262D"/>
    <w:rsid w:val="003C316D"/>
    <w:rsid w:val="003D06D0"/>
    <w:rsid w:val="003D2677"/>
    <w:rsid w:val="003D2E9F"/>
    <w:rsid w:val="003D4976"/>
    <w:rsid w:val="003D5DF0"/>
    <w:rsid w:val="003E00EC"/>
    <w:rsid w:val="003E090B"/>
    <w:rsid w:val="003F79E8"/>
    <w:rsid w:val="00400A72"/>
    <w:rsid w:val="004013BC"/>
    <w:rsid w:val="00401943"/>
    <w:rsid w:val="0040364F"/>
    <w:rsid w:val="00405B86"/>
    <w:rsid w:val="004101AA"/>
    <w:rsid w:val="00412503"/>
    <w:rsid w:val="00414088"/>
    <w:rsid w:val="0041477F"/>
    <w:rsid w:val="004160D2"/>
    <w:rsid w:val="00416EBF"/>
    <w:rsid w:val="004256DF"/>
    <w:rsid w:val="00433F79"/>
    <w:rsid w:val="00435E62"/>
    <w:rsid w:val="00436828"/>
    <w:rsid w:val="00437C19"/>
    <w:rsid w:val="00442245"/>
    <w:rsid w:val="0045215E"/>
    <w:rsid w:val="00452EE5"/>
    <w:rsid w:val="0045396C"/>
    <w:rsid w:val="00464BC8"/>
    <w:rsid w:val="0047066F"/>
    <w:rsid w:val="00473C27"/>
    <w:rsid w:val="00473F82"/>
    <w:rsid w:val="004746F3"/>
    <w:rsid w:val="00475225"/>
    <w:rsid w:val="00483CD6"/>
    <w:rsid w:val="00485F73"/>
    <w:rsid w:val="00487677"/>
    <w:rsid w:val="00493026"/>
    <w:rsid w:val="0049321A"/>
    <w:rsid w:val="004939D4"/>
    <w:rsid w:val="00496586"/>
    <w:rsid w:val="0049773F"/>
    <w:rsid w:val="00497D3D"/>
    <w:rsid w:val="00497EA3"/>
    <w:rsid w:val="004A0B62"/>
    <w:rsid w:val="004A1FB7"/>
    <w:rsid w:val="004A50FF"/>
    <w:rsid w:val="004A6A08"/>
    <w:rsid w:val="004B2597"/>
    <w:rsid w:val="004C295C"/>
    <w:rsid w:val="004D73F0"/>
    <w:rsid w:val="004E0F54"/>
    <w:rsid w:val="004E156C"/>
    <w:rsid w:val="004E19E1"/>
    <w:rsid w:val="004E2A02"/>
    <w:rsid w:val="004E6FE9"/>
    <w:rsid w:val="004E7073"/>
    <w:rsid w:val="004E71DD"/>
    <w:rsid w:val="004E7383"/>
    <w:rsid w:val="004E7A71"/>
    <w:rsid w:val="004F1854"/>
    <w:rsid w:val="00500494"/>
    <w:rsid w:val="0050168B"/>
    <w:rsid w:val="00501BAB"/>
    <w:rsid w:val="005078DE"/>
    <w:rsid w:val="00507C7F"/>
    <w:rsid w:val="0051153E"/>
    <w:rsid w:val="005143E4"/>
    <w:rsid w:val="00515BC8"/>
    <w:rsid w:val="00522460"/>
    <w:rsid w:val="00524783"/>
    <w:rsid w:val="00525C63"/>
    <w:rsid w:val="00527E5E"/>
    <w:rsid w:val="005324E4"/>
    <w:rsid w:val="0054220A"/>
    <w:rsid w:val="00542C81"/>
    <w:rsid w:val="005455B0"/>
    <w:rsid w:val="00547ED8"/>
    <w:rsid w:val="00551AF2"/>
    <w:rsid w:val="00553358"/>
    <w:rsid w:val="00554950"/>
    <w:rsid w:val="00556EF6"/>
    <w:rsid w:val="00565291"/>
    <w:rsid w:val="005662E6"/>
    <w:rsid w:val="005752CC"/>
    <w:rsid w:val="005837AB"/>
    <w:rsid w:val="005838F8"/>
    <w:rsid w:val="00590965"/>
    <w:rsid w:val="00591395"/>
    <w:rsid w:val="00591FA9"/>
    <w:rsid w:val="00592E76"/>
    <w:rsid w:val="00596F50"/>
    <w:rsid w:val="00597042"/>
    <w:rsid w:val="00597BEF"/>
    <w:rsid w:val="005A2716"/>
    <w:rsid w:val="005A6148"/>
    <w:rsid w:val="005A725F"/>
    <w:rsid w:val="005A776C"/>
    <w:rsid w:val="005A7FCC"/>
    <w:rsid w:val="005B243C"/>
    <w:rsid w:val="005B2FF8"/>
    <w:rsid w:val="005C0C71"/>
    <w:rsid w:val="005C277B"/>
    <w:rsid w:val="005C5EAF"/>
    <w:rsid w:val="005D3DF0"/>
    <w:rsid w:val="005D4958"/>
    <w:rsid w:val="005F5E85"/>
    <w:rsid w:val="005F628F"/>
    <w:rsid w:val="0060189F"/>
    <w:rsid w:val="00603CCC"/>
    <w:rsid w:val="0060403F"/>
    <w:rsid w:val="00604F61"/>
    <w:rsid w:val="006071E6"/>
    <w:rsid w:val="006141C5"/>
    <w:rsid w:val="00614F55"/>
    <w:rsid w:val="00624ACF"/>
    <w:rsid w:val="00626D8C"/>
    <w:rsid w:val="006332F0"/>
    <w:rsid w:val="00643CA1"/>
    <w:rsid w:val="00645877"/>
    <w:rsid w:val="00646B1D"/>
    <w:rsid w:val="00652D3D"/>
    <w:rsid w:val="0065454B"/>
    <w:rsid w:val="00654EDF"/>
    <w:rsid w:val="0066086A"/>
    <w:rsid w:val="0066595B"/>
    <w:rsid w:val="00665CC3"/>
    <w:rsid w:val="00671284"/>
    <w:rsid w:val="006726C2"/>
    <w:rsid w:val="00672E78"/>
    <w:rsid w:val="00683867"/>
    <w:rsid w:val="00684CE6"/>
    <w:rsid w:val="006878E0"/>
    <w:rsid w:val="006906E7"/>
    <w:rsid w:val="006A2C1D"/>
    <w:rsid w:val="006A2D98"/>
    <w:rsid w:val="006A53A9"/>
    <w:rsid w:val="006B76CE"/>
    <w:rsid w:val="006C141F"/>
    <w:rsid w:val="006C6D91"/>
    <w:rsid w:val="006D26DE"/>
    <w:rsid w:val="006D40E4"/>
    <w:rsid w:val="006D57F0"/>
    <w:rsid w:val="006E2473"/>
    <w:rsid w:val="006E63A4"/>
    <w:rsid w:val="006F0554"/>
    <w:rsid w:val="006F2307"/>
    <w:rsid w:val="006F309B"/>
    <w:rsid w:val="006F38A8"/>
    <w:rsid w:val="00703333"/>
    <w:rsid w:val="00703819"/>
    <w:rsid w:val="00703B30"/>
    <w:rsid w:val="0071597B"/>
    <w:rsid w:val="00720D58"/>
    <w:rsid w:val="00720FB4"/>
    <w:rsid w:val="007301D8"/>
    <w:rsid w:val="007303B7"/>
    <w:rsid w:val="00731F0C"/>
    <w:rsid w:val="0074376B"/>
    <w:rsid w:val="007473FF"/>
    <w:rsid w:val="00752CF0"/>
    <w:rsid w:val="007545A7"/>
    <w:rsid w:val="00755637"/>
    <w:rsid w:val="007700BE"/>
    <w:rsid w:val="00770E84"/>
    <w:rsid w:val="007729CC"/>
    <w:rsid w:val="00773E33"/>
    <w:rsid w:val="00774401"/>
    <w:rsid w:val="00784388"/>
    <w:rsid w:val="007872F5"/>
    <w:rsid w:val="00794A58"/>
    <w:rsid w:val="00795074"/>
    <w:rsid w:val="007A3BFF"/>
    <w:rsid w:val="007A57A4"/>
    <w:rsid w:val="007A6527"/>
    <w:rsid w:val="007B04C6"/>
    <w:rsid w:val="007B2D04"/>
    <w:rsid w:val="007B6082"/>
    <w:rsid w:val="007C04C2"/>
    <w:rsid w:val="007C11C8"/>
    <w:rsid w:val="007C216E"/>
    <w:rsid w:val="007C599D"/>
    <w:rsid w:val="007D0292"/>
    <w:rsid w:val="007D2CA8"/>
    <w:rsid w:val="007D375D"/>
    <w:rsid w:val="007D76BB"/>
    <w:rsid w:val="007F0ADA"/>
    <w:rsid w:val="007F6E52"/>
    <w:rsid w:val="007F7B3C"/>
    <w:rsid w:val="0080083F"/>
    <w:rsid w:val="00802162"/>
    <w:rsid w:val="008104BB"/>
    <w:rsid w:val="008134E5"/>
    <w:rsid w:val="00813A1A"/>
    <w:rsid w:val="008156BC"/>
    <w:rsid w:val="00817338"/>
    <w:rsid w:val="0082281A"/>
    <w:rsid w:val="00823ADC"/>
    <w:rsid w:val="008251D7"/>
    <w:rsid w:val="0082520C"/>
    <w:rsid w:val="008264D5"/>
    <w:rsid w:val="0082666E"/>
    <w:rsid w:val="00835E34"/>
    <w:rsid w:val="00836873"/>
    <w:rsid w:val="00837FC4"/>
    <w:rsid w:val="008402C5"/>
    <w:rsid w:val="008431EE"/>
    <w:rsid w:val="008452F5"/>
    <w:rsid w:val="008615EF"/>
    <w:rsid w:val="00870396"/>
    <w:rsid w:val="00875D40"/>
    <w:rsid w:val="00876021"/>
    <w:rsid w:val="00881F1D"/>
    <w:rsid w:val="00882C0C"/>
    <w:rsid w:val="00884C0D"/>
    <w:rsid w:val="008856B0"/>
    <w:rsid w:val="00886710"/>
    <w:rsid w:val="00887FA6"/>
    <w:rsid w:val="008911EF"/>
    <w:rsid w:val="008A358D"/>
    <w:rsid w:val="008B25A9"/>
    <w:rsid w:val="008B496D"/>
    <w:rsid w:val="008B670C"/>
    <w:rsid w:val="008B721F"/>
    <w:rsid w:val="008C27B4"/>
    <w:rsid w:val="008C746E"/>
    <w:rsid w:val="008D6DFF"/>
    <w:rsid w:val="008E4D92"/>
    <w:rsid w:val="008E698A"/>
    <w:rsid w:val="008F1637"/>
    <w:rsid w:val="008F3574"/>
    <w:rsid w:val="00901075"/>
    <w:rsid w:val="00902429"/>
    <w:rsid w:val="00902D9D"/>
    <w:rsid w:val="009068A6"/>
    <w:rsid w:val="00922D3C"/>
    <w:rsid w:val="009230A7"/>
    <w:rsid w:val="00924AF2"/>
    <w:rsid w:val="009267AB"/>
    <w:rsid w:val="009268DC"/>
    <w:rsid w:val="00926FB6"/>
    <w:rsid w:val="00933202"/>
    <w:rsid w:val="00933ED0"/>
    <w:rsid w:val="00945451"/>
    <w:rsid w:val="009460C0"/>
    <w:rsid w:val="00946A2D"/>
    <w:rsid w:val="00946DC5"/>
    <w:rsid w:val="009508F0"/>
    <w:rsid w:val="00961AF7"/>
    <w:rsid w:val="00961BD9"/>
    <w:rsid w:val="00961D1C"/>
    <w:rsid w:val="00965A8E"/>
    <w:rsid w:val="00966F88"/>
    <w:rsid w:val="009770D8"/>
    <w:rsid w:val="00981274"/>
    <w:rsid w:val="009927E4"/>
    <w:rsid w:val="00993501"/>
    <w:rsid w:val="009965AE"/>
    <w:rsid w:val="009A3DE0"/>
    <w:rsid w:val="009A7DA1"/>
    <w:rsid w:val="009B0ED8"/>
    <w:rsid w:val="009B1377"/>
    <w:rsid w:val="009B1BD3"/>
    <w:rsid w:val="009B5BCB"/>
    <w:rsid w:val="009B7393"/>
    <w:rsid w:val="009C1E8C"/>
    <w:rsid w:val="009C4975"/>
    <w:rsid w:val="009C72C5"/>
    <w:rsid w:val="009D322B"/>
    <w:rsid w:val="009E2B66"/>
    <w:rsid w:val="009E7804"/>
    <w:rsid w:val="009F5546"/>
    <w:rsid w:val="00A02ECB"/>
    <w:rsid w:val="00A16CF7"/>
    <w:rsid w:val="00A25382"/>
    <w:rsid w:val="00A25DD7"/>
    <w:rsid w:val="00A262D8"/>
    <w:rsid w:val="00A3366D"/>
    <w:rsid w:val="00A44901"/>
    <w:rsid w:val="00A5613C"/>
    <w:rsid w:val="00A61524"/>
    <w:rsid w:val="00A648CC"/>
    <w:rsid w:val="00A659B5"/>
    <w:rsid w:val="00A65FF6"/>
    <w:rsid w:val="00A7042F"/>
    <w:rsid w:val="00A7097F"/>
    <w:rsid w:val="00A91295"/>
    <w:rsid w:val="00A95906"/>
    <w:rsid w:val="00A965FD"/>
    <w:rsid w:val="00AA6652"/>
    <w:rsid w:val="00AB6DA5"/>
    <w:rsid w:val="00AB7B46"/>
    <w:rsid w:val="00AC3AFA"/>
    <w:rsid w:val="00AC46D9"/>
    <w:rsid w:val="00AD1A86"/>
    <w:rsid w:val="00AD6022"/>
    <w:rsid w:val="00AD79ED"/>
    <w:rsid w:val="00AE1ED6"/>
    <w:rsid w:val="00AE2E3B"/>
    <w:rsid w:val="00AF0CAB"/>
    <w:rsid w:val="00AF5A7E"/>
    <w:rsid w:val="00B03B7B"/>
    <w:rsid w:val="00B03DD9"/>
    <w:rsid w:val="00B0401D"/>
    <w:rsid w:val="00B06210"/>
    <w:rsid w:val="00B06213"/>
    <w:rsid w:val="00B10D76"/>
    <w:rsid w:val="00B1277D"/>
    <w:rsid w:val="00B200F9"/>
    <w:rsid w:val="00B205D0"/>
    <w:rsid w:val="00B20A21"/>
    <w:rsid w:val="00B3032C"/>
    <w:rsid w:val="00B3069C"/>
    <w:rsid w:val="00B32689"/>
    <w:rsid w:val="00B44EBB"/>
    <w:rsid w:val="00B46705"/>
    <w:rsid w:val="00B4754A"/>
    <w:rsid w:val="00B5112C"/>
    <w:rsid w:val="00B51EA8"/>
    <w:rsid w:val="00B57782"/>
    <w:rsid w:val="00B66C3B"/>
    <w:rsid w:val="00B727F7"/>
    <w:rsid w:val="00B75E13"/>
    <w:rsid w:val="00B76D36"/>
    <w:rsid w:val="00B77796"/>
    <w:rsid w:val="00B777F0"/>
    <w:rsid w:val="00B77E63"/>
    <w:rsid w:val="00B8206B"/>
    <w:rsid w:val="00B82E92"/>
    <w:rsid w:val="00B83597"/>
    <w:rsid w:val="00B93E0C"/>
    <w:rsid w:val="00BA159E"/>
    <w:rsid w:val="00BA1A55"/>
    <w:rsid w:val="00BA2B16"/>
    <w:rsid w:val="00BA4080"/>
    <w:rsid w:val="00BA6336"/>
    <w:rsid w:val="00BB38E0"/>
    <w:rsid w:val="00BB5D50"/>
    <w:rsid w:val="00BC08FF"/>
    <w:rsid w:val="00BD39BD"/>
    <w:rsid w:val="00BD4BE7"/>
    <w:rsid w:val="00BD4C61"/>
    <w:rsid w:val="00BD7021"/>
    <w:rsid w:val="00BE1BF4"/>
    <w:rsid w:val="00BF5283"/>
    <w:rsid w:val="00BF7D86"/>
    <w:rsid w:val="00C01027"/>
    <w:rsid w:val="00C014D4"/>
    <w:rsid w:val="00C12363"/>
    <w:rsid w:val="00C1479B"/>
    <w:rsid w:val="00C14815"/>
    <w:rsid w:val="00C16298"/>
    <w:rsid w:val="00C17467"/>
    <w:rsid w:val="00C2035C"/>
    <w:rsid w:val="00C20578"/>
    <w:rsid w:val="00C20835"/>
    <w:rsid w:val="00C219D1"/>
    <w:rsid w:val="00C21C32"/>
    <w:rsid w:val="00C31A6B"/>
    <w:rsid w:val="00C34105"/>
    <w:rsid w:val="00C44A86"/>
    <w:rsid w:val="00C55BDD"/>
    <w:rsid w:val="00C60A41"/>
    <w:rsid w:val="00C621EE"/>
    <w:rsid w:val="00C627A6"/>
    <w:rsid w:val="00C64182"/>
    <w:rsid w:val="00C6665E"/>
    <w:rsid w:val="00C6707E"/>
    <w:rsid w:val="00C736A7"/>
    <w:rsid w:val="00C7412C"/>
    <w:rsid w:val="00C7699A"/>
    <w:rsid w:val="00C7786E"/>
    <w:rsid w:val="00C82BDA"/>
    <w:rsid w:val="00C84C66"/>
    <w:rsid w:val="00C861AF"/>
    <w:rsid w:val="00C963F1"/>
    <w:rsid w:val="00CA2CB8"/>
    <w:rsid w:val="00CA5AB8"/>
    <w:rsid w:val="00CB1E5A"/>
    <w:rsid w:val="00CB7BE8"/>
    <w:rsid w:val="00CC1286"/>
    <w:rsid w:val="00CC2573"/>
    <w:rsid w:val="00CC30FD"/>
    <w:rsid w:val="00CC3EFB"/>
    <w:rsid w:val="00CC6BA5"/>
    <w:rsid w:val="00CD0949"/>
    <w:rsid w:val="00CD2917"/>
    <w:rsid w:val="00CD4B1F"/>
    <w:rsid w:val="00CD7358"/>
    <w:rsid w:val="00CD7422"/>
    <w:rsid w:val="00CD7F28"/>
    <w:rsid w:val="00CE18EE"/>
    <w:rsid w:val="00CE62E2"/>
    <w:rsid w:val="00CF1C51"/>
    <w:rsid w:val="00CF4666"/>
    <w:rsid w:val="00CF7A17"/>
    <w:rsid w:val="00CF7CF4"/>
    <w:rsid w:val="00D05C78"/>
    <w:rsid w:val="00D06926"/>
    <w:rsid w:val="00D07F1E"/>
    <w:rsid w:val="00D10856"/>
    <w:rsid w:val="00D10C0B"/>
    <w:rsid w:val="00D166BD"/>
    <w:rsid w:val="00D20DE3"/>
    <w:rsid w:val="00D2273F"/>
    <w:rsid w:val="00D27208"/>
    <w:rsid w:val="00D27383"/>
    <w:rsid w:val="00D34093"/>
    <w:rsid w:val="00D40DAA"/>
    <w:rsid w:val="00D423AC"/>
    <w:rsid w:val="00D44C2B"/>
    <w:rsid w:val="00D60048"/>
    <w:rsid w:val="00D60E44"/>
    <w:rsid w:val="00D61B94"/>
    <w:rsid w:val="00D62A75"/>
    <w:rsid w:val="00D713BF"/>
    <w:rsid w:val="00D7277C"/>
    <w:rsid w:val="00D73A43"/>
    <w:rsid w:val="00D74AEF"/>
    <w:rsid w:val="00D75D7C"/>
    <w:rsid w:val="00D824DB"/>
    <w:rsid w:val="00D90DD8"/>
    <w:rsid w:val="00DA009E"/>
    <w:rsid w:val="00DA6141"/>
    <w:rsid w:val="00DB0FC9"/>
    <w:rsid w:val="00DC1C91"/>
    <w:rsid w:val="00DC2DDD"/>
    <w:rsid w:val="00DC4A5C"/>
    <w:rsid w:val="00DC682C"/>
    <w:rsid w:val="00DD01CE"/>
    <w:rsid w:val="00DD1B00"/>
    <w:rsid w:val="00DD1B36"/>
    <w:rsid w:val="00DD521F"/>
    <w:rsid w:val="00DD54E0"/>
    <w:rsid w:val="00DD732A"/>
    <w:rsid w:val="00DD7E0A"/>
    <w:rsid w:val="00DE44C1"/>
    <w:rsid w:val="00DF036F"/>
    <w:rsid w:val="00DF2D7F"/>
    <w:rsid w:val="00DF4085"/>
    <w:rsid w:val="00DF7808"/>
    <w:rsid w:val="00DF7F88"/>
    <w:rsid w:val="00E0186C"/>
    <w:rsid w:val="00E052B9"/>
    <w:rsid w:val="00E20EF0"/>
    <w:rsid w:val="00E271B7"/>
    <w:rsid w:val="00E3430F"/>
    <w:rsid w:val="00E346E2"/>
    <w:rsid w:val="00E3651F"/>
    <w:rsid w:val="00E43030"/>
    <w:rsid w:val="00E44B55"/>
    <w:rsid w:val="00E54E65"/>
    <w:rsid w:val="00E5606D"/>
    <w:rsid w:val="00E56351"/>
    <w:rsid w:val="00E62CB8"/>
    <w:rsid w:val="00E62FA4"/>
    <w:rsid w:val="00E6314A"/>
    <w:rsid w:val="00E64FCC"/>
    <w:rsid w:val="00E758E0"/>
    <w:rsid w:val="00E765F5"/>
    <w:rsid w:val="00E83A15"/>
    <w:rsid w:val="00E84A1B"/>
    <w:rsid w:val="00E857E6"/>
    <w:rsid w:val="00E86F26"/>
    <w:rsid w:val="00E9299C"/>
    <w:rsid w:val="00E92AAB"/>
    <w:rsid w:val="00E96316"/>
    <w:rsid w:val="00EA00D5"/>
    <w:rsid w:val="00EA03DC"/>
    <w:rsid w:val="00EA28E4"/>
    <w:rsid w:val="00EA3DE1"/>
    <w:rsid w:val="00EA4D16"/>
    <w:rsid w:val="00EA7414"/>
    <w:rsid w:val="00EB1377"/>
    <w:rsid w:val="00EB19D1"/>
    <w:rsid w:val="00EB66F2"/>
    <w:rsid w:val="00EB7F35"/>
    <w:rsid w:val="00EC0F7D"/>
    <w:rsid w:val="00EC35F7"/>
    <w:rsid w:val="00EC5938"/>
    <w:rsid w:val="00EC5DD6"/>
    <w:rsid w:val="00ED2BBC"/>
    <w:rsid w:val="00ED2C88"/>
    <w:rsid w:val="00EE588C"/>
    <w:rsid w:val="00EF3811"/>
    <w:rsid w:val="00EF381A"/>
    <w:rsid w:val="00F02A51"/>
    <w:rsid w:val="00F05181"/>
    <w:rsid w:val="00F05833"/>
    <w:rsid w:val="00F075CF"/>
    <w:rsid w:val="00F15750"/>
    <w:rsid w:val="00F229A7"/>
    <w:rsid w:val="00F23C3F"/>
    <w:rsid w:val="00F24354"/>
    <w:rsid w:val="00F246EC"/>
    <w:rsid w:val="00F24CAF"/>
    <w:rsid w:val="00F30ADC"/>
    <w:rsid w:val="00F37828"/>
    <w:rsid w:val="00F400CC"/>
    <w:rsid w:val="00F44A03"/>
    <w:rsid w:val="00F507E7"/>
    <w:rsid w:val="00F53932"/>
    <w:rsid w:val="00F55B09"/>
    <w:rsid w:val="00F55D51"/>
    <w:rsid w:val="00F57B29"/>
    <w:rsid w:val="00F60B3F"/>
    <w:rsid w:val="00F65500"/>
    <w:rsid w:val="00F66B9D"/>
    <w:rsid w:val="00F83379"/>
    <w:rsid w:val="00F8465D"/>
    <w:rsid w:val="00F84945"/>
    <w:rsid w:val="00F85184"/>
    <w:rsid w:val="00F901AF"/>
    <w:rsid w:val="00F93978"/>
    <w:rsid w:val="00F969FF"/>
    <w:rsid w:val="00F96EC4"/>
    <w:rsid w:val="00F978BA"/>
    <w:rsid w:val="00FA040E"/>
    <w:rsid w:val="00FA2C64"/>
    <w:rsid w:val="00FB2A3F"/>
    <w:rsid w:val="00FB7380"/>
    <w:rsid w:val="00FC2DC4"/>
    <w:rsid w:val="00FD0353"/>
    <w:rsid w:val="00FD222E"/>
    <w:rsid w:val="00FD2517"/>
    <w:rsid w:val="00FD6B22"/>
    <w:rsid w:val="00FD7E55"/>
    <w:rsid w:val="00FE3142"/>
    <w:rsid w:val="00FE5144"/>
    <w:rsid w:val="00FF306F"/>
    <w:rsid w:val="00FF31C3"/>
    <w:rsid w:val="00FF375B"/>
    <w:rsid w:val="00FF54FB"/>
    <w:rsid w:val="00FF67FF"/>
    <w:rsid w:val="03EEDEF4"/>
    <w:rsid w:val="076AD2F9"/>
    <w:rsid w:val="07AD8B79"/>
    <w:rsid w:val="07B20967"/>
    <w:rsid w:val="08AE8875"/>
    <w:rsid w:val="0C038511"/>
    <w:rsid w:val="0F19FBA3"/>
    <w:rsid w:val="0F6D20AA"/>
    <w:rsid w:val="10193AE2"/>
    <w:rsid w:val="11FCDEAF"/>
    <w:rsid w:val="13F6C631"/>
    <w:rsid w:val="15F1617E"/>
    <w:rsid w:val="15FDB645"/>
    <w:rsid w:val="19ABCA90"/>
    <w:rsid w:val="1E015CA0"/>
    <w:rsid w:val="26F4D58C"/>
    <w:rsid w:val="27886050"/>
    <w:rsid w:val="28218A2F"/>
    <w:rsid w:val="2922F2EC"/>
    <w:rsid w:val="293E3184"/>
    <w:rsid w:val="29FBF055"/>
    <w:rsid w:val="2A3662B1"/>
    <w:rsid w:val="2BCDBD47"/>
    <w:rsid w:val="2D8A3D38"/>
    <w:rsid w:val="2D901426"/>
    <w:rsid w:val="2F17CD39"/>
    <w:rsid w:val="2F7748B0"/>
    <w:rsid w:val="2F7C9A20"/>
    <w:rsid w:val="31B6F1CD"/>
    <w:rsid w:val="34D0F4FA"/>
    <w:rsid w:val="3599D69E"/>
    <w:rsid w:val="36936A5D"/>
    <w:rsid w:val="37EF07AF"/>
    <w:rsid w:val="38641A08"/>
    <w:rsid w:val="38F399FE"/>
    <w:rsid w:val="39189EE4"/>
    <w:rsid w:val="3E77FC0B"/>
    <w:rsid w:val="3F324F96"/>
    <w:rsid w:val="40862DA4"/>
    <w:rsid w:val="4271C011"/>
    <w:rsid w:val="4328BC5F"/>
    <w:rsid w:val="476AEDB6"/>
    <w:rsid w:val="482AA3FC"/>
    <w:rsid w:val="4B4FC0AD"/>
    <w:rsid w:val="4DB790E1"/>
    <w:rsid w:val="4FC0A64F"/>
    <w:rsid w:val="50759235"/>
    <w:rsid w:val="512597CD"/>
    <w:rsid w:val="51D0EF70"/>
    <w:rsid w:val="53400A3B"/>
    <w:rsid w:val="542A715B"/>
    <w:rsid w:val="55D6C860"/>
    <w:rsid w:val="59DCF1C6"/>
    <w:rsid w:val="5C0D3D7F"/>
    <w:rsid w:val="5F8F6464"/>
    <w:rsid w:val="6016BB7E"/>
    <w:rsid w:val="6101BC4B"/>
    <w:rsid w:val="622CD8EA"/>
    <w:rsid w:val="63E4C1DD"/>
    <w:rsid w:val="64BC46CC"/>
    <w:rsid w:val="65EF9ED9"/>
    <w:rsid w:val="67221EB0"/>
    <w:rsid w:val="67FE7D1A"/>
    <w:rsid w:val="682649A8"/>
    <w:rsid w:val="695D721C"/>
    <w:rsid w:val="6D41F52D"/>
    <w:rsid w:val="6EA9FADC"/>
    <w:rsid w:val="6F086038"/>
    <w:rsid w:val="6F1E3EBB"/>
    <w:rsid w:val="6F706CE9"/>
    <w:rsid w:val="707D4F99"/>
    <w:rsid w:val="728F3B3C"/>
    <w:rsid w:val="74044708"/>
    <w:rsid w:val="77A18A4F"/>
    <w:rsid w:val="77ED48D0"/>
    <w:rsid w:val="7A34F652"/>
    <w:rsid w:val="7A60322C"/>
    <w:rsid w:val="7C233D97"/>
    <w:rsid w:val="7CCE31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AF51D"/>
  <w15:docId w15:val="{4E00FB2B-B0C8-46EB-AF48-F5B213C29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style>
  <w:style w:type="paragraph" w:styleId="Heading2">
    <w:name w:val="heading 2"/>
    <w:uiPriority w:val="9"/>
    <w:unhideWhenUsed/>
    <w:qFormat/>
    <w:pPr>
      <w:spacing w:before="280" w:after="120"/>
      <w:outlineLvl w:val="1"/>
    </w:p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530A"/>
    <w:pPr>
      <w:tabs>
        <w:tab w:val="center" w:pos="4680"/>
        <w:tab w:val="right" w:pos="9360"/>
      </w:tabs>
    </w:pPr>
  </w:style>
  <w:style w:type="character" w:customStyle="1" w:styleId="HeaderChar">
    <w:name w:val="Header Char"/>
    <w:basedOn w:val="DefaultParagraphFont"/>
    <w:link w:val="Header"/>
    <w:uiPriority w:val="99"/>
    <w:rsid w:val="001F530A"/>
  </w:style>
  <w:style w:type="paragraph" w:styleId="Footer">
    <w:name w:val="footer"/>
    <w:basedOn w:val="Normal"/>
    <w:link w:val="FooterChar"/>
    <w:uiPriority w:val="99"/>
    <w:unhideWhenUsed/>
    <w:rsid w:val="001F530A"/>
    <w:pPr>
      <w:tabs>
        <w:tab w:val="center" w:pos="4680"/>
        <w:tab w:val="right" w:pos="9360"/>
      </w:tabs>
    </w:pPr>
  </w:style>
  <w:style w:type="character" w:customStyle="1" w:styleId="FooterChar">
    <w:name w:val="Footer Char"/>
    <w:basedOn w:val="DefaultParagraphFont"/>
    <w:link w:val="Footer"/>
    <w:uiPriority w:val="99"/>
    <w:rsid w:val="001F530A"/>
  </w:style>
  <w:style w:type="character" w:styleId="CommentReference">
    <w:name w:val="annotation reference"/>
    <w:basedOn w:val="DefaultParagraphFont"/>
    <w:uiPriority w:val="99"/>
    <w:semiHidden/>
    <w:unhideWhenUsed/>
    <w:rsid w:val="005B243C"/>
    <w:rPr>
      <w:sz w:val="16"/>
      <w:szCs w:val="16"/>
    </w:rPr>
  </w:style>
  <w:style w:type="paragraph" w:styleId="CommentText">
    <w:name w:val="annotation text"/>
    <w:basedOn w:val="Normal"/>
    <w:link w:val="CommentTextChar"/>
    <w:uiPriority w:val="99"/>
    <w:unhideWhenUsed/>
    <w:rsid w:val="005B243C"/>
    <w:rPr>
      <w:sz w:val="20"/>
      <w:szCs w:val="20"/>
    </w:rPr>
  </w:style>
  <w:style w:type="character" w:customStyle="1" w:styleId="CommentTextChar">
    <w:name w:val="Comment Text Char"/>
    <w:basedOn w:val="DefaultParagraphFont"/>
    <w:link w:val="CommentText"/>
    <w:uiPriority w:val="99"/>
    <w:rsid w:val="005B243C"/>
    <w:rPr>
      <w:sz w:val="20"/>
      <w:szCs w:val="20"/>
    </w:rPr>
  </w:style>
  <w:style w:type="paragraph" w:styleId="CommentSubject">
    <w:name w:val="annotation subject"/>
    <w:basedOn w:val="CommentText"/>
    <w:next w:val="CommentText"/>
    <w:link w:val="CommentSubjectChar"/>
    <w:uiPriority w:val="99"/>
    <w:semiHidden/>
    <w:unhideWhenUsed/>
    <w:rsid w:val="005B243C"/>
    <w:rPr>
      <w:b/>
      <w:bCs/>
    </w:rPr>
  </w:style>
  <w:style w:type="character" w:customStyle="1" w:styleId="CommentSubjectChar">
    <w:name w:val="Comment Subject Char"/>
    <w:basedOn w:val="CommentTextChar"/>
    <w:link w:val="CommentSubject"/>
    <w:uiPriority w:val="99"/>
    <w:semiHidden/>
    <w:rsid w:val="005B243C"/>
    <w:rPr>
      <w:b/>
      <w:bCs/>
      <w:sz w:val="20"/>
      <w:szCs w:val="20"/>
    </w:rPr>
  </w:style>
  <w:style w:type="character" w:styleId="Mention">
    <w:name w:val="Mention"/>
    <w:basedOn w:val="DefaultParagraphFont"/>
    <w:uiPriority w:val="99"/>
    <w:unhideWhenUsed/>
    <w:rsid w:val="00671284"/>
    <w:rPr>
      <w:color w:val="2B579A"/>
      <w:shd w:val="clear" w:color="auto" w:fill="E1DFDD"/>
    </w:rPr>
  </w:style>
  <w:style w:type="character" w:styleId="UnresolvedMention">
    <w:name w:val="Unresolved Mention"/>
    <w:basedOn w:val="DefaultParagraphFont"/>
    <w:uiPriority w:val="99"/>
    <w:semiHidden/>
    <w:unhideWhenUsed/>
    <w:rsid w:val="00671284"/>
    <w:rPr>
      <w:color w:val="605E5C"/>
      <w:shd w:val="clear" w:color="auto" w:fill="E1DFDD"/>
    </w:rPr>
  </w:style>
  <w:style w:type="paragraph" w:styleId="Revision">
    <w:name w:val="Revision"/>
    <w:hidden/>
    <w:uiPriority w:val="99"/>
    <w:semiHidden/>
    <w:rsid w:val="00313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atech.wa.gov/policies/washington-state-cybersecurity-program-policy"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atech.wa.gov/policies/washington-state-cybersecurity-program-policy"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atech.wa.gov/sites/default/files/2025-12/DATA-04_AI_Policy.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atech.wa.gov/sites/default/files/2025-12/DATA-04_AI_Policy.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OR Standard Theme">
  <a:themeElements>
    <a:clrScheme name="Washington State Department of Revenue">
      <a:dk1>
        <a:srgbClr val="2D3338"/>
      </a:dk1>
      <a:lt1>
        <a:sysClr val="window" lastClr="FFFFFF"/>
      </a:lt1>
      <a:dk2>
        <a:srgbClr val="174A7C"/>
      </a:dk2>
      <a:lt2>
        <a:srgbClr val="FFFFFF"/>
      </a:lt2>
      <a:accent1>
        <a:srgbClr val="2C86D9"/>
      </a:accent1>
      <a:accent2>
        <a:srgbClr val="DC6132"/>
      </a:accent2>
      <a:accent3>
        <a:srgbClr val="FAB932"/>
      </a:accent3>
      <a:accent4>
        <a:srgbClr val="168B4D"/>
      </a:accent4>
      <a:accent5>
        <a:srgbClr val="C9DFF6"/>
      </a:accent5>
      <a:accent6>
        <a:srgbClr val="5B6670"/>
      </a:accent6>
      <a:hlink>
        <a:srgbClr val="2C86D9"/>
      </a:hlink>
      <a:folHlink>
        <a:srgbClr val="C9DFF6"/>
      </a:folHlink>
    </a:clrScheme>
    <a:fontScheme name="Custom 1">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OR Standard Theme" id="{BD3F2BBA-8C3B-4B83-BBBE-96DFF5158123}" vid="{6947138C-D7F7-44A4-97C8-3D1CEAF033C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E9152E4C4E074AA7C5B27BC41AEC69" ma:contentTypeVersion="3" ma:contentTypeDescription="Create a new document." ma:contentTypeScope="" ma:versionID="93b18b794ae1c1e5562d048c96030c92">
  <xsd:schema xmlns:xsd="http://www.w3.org/2001/XMLSchema" xmlns:xs="http://www.w3.org/2001/XMLSchema" xmlns:p="http://schemas.microsoft.com/office/2006/metadata/properties" xmlns:ns2="92035b71-9c1f-4aaf-908f-9a2f4c8db602" targetNamespace="http://schemas.microsoft.com/office/2006/metadata/properties" ma:root="true" ma:fieldsID="3c24cf28cf635d395e4361344e4f34ca" ns2:_="">
    <xsd:import namespace="92035b71-9c1f-4aaf-908f-9a2f4c8db60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35b71-9c1f-4aaf-908f-9a2f4c8db6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9FFEE4-AD63-4FE7-80A7-7BA50A36CA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35b71-9c1f-4aaf-908f-9a2f4c8db6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020CBB-03ED-4E4E-805F-9904E5070025}">
  <ds:schemaRefs>
    <ds:schemaRef ds:uri="http://schemas.microsoft.com/sharepoint/v3/contenttype/forms"/>
  </ds:schemaRefs>
</ds:datastoreItem>
</file>

<file path=customXml/itemProps3.xml><?xml version="1.0" encoding="utf-8"?>
<ds:datastoreItem xmlns:ds="http://schemas.openxmlformats.org/officeDocument/2006/customXml" ds:itemID="{BB825F39-E98F-4CDC-8B3F-891EC6734CE8}">
  <ds:schemaRefs>
    <ds:schemaRef ds:uri="http://schemas.openxmlformats.org/officeDocument/2006/bibliography"/>
  </ds:schemaRefs>
</ds:datastoreItem>
</file>

<file path=customXml/itemProps4.xml><?xml version="1.0" encoding="utf-8"?>
<ds:datastoreItem xmlns:ds="http://schemas.openxmlformats.org/officeDocument/2006/customXml" ds:itemID="{F39B6E29-3506-4436-8503-E83291FC960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1d0e217-264e-400a-8ba0-57dcc127d72d}" enabled="0" method="" siteId="{11d0e217-264e-400a-8ba0-57dcc127d72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5491</Words>
  <Characters>31026</Characters>
  <Application>Microsoft Office Word</Application>
  <DocSecurity>0</DocSecurity>
  <Lines>689</Lines>
  <Paragraphs>331</Paragraphs>
  <ScaleCrop>false</ScaleCrop>
  <Company/>
  <LinksUpToDate>false</LinksUpToDate>
  <CharactersWithSpaces>36186</CharactersWithSpaces>
  <SharedDoc>false</SharedDoc>
  <HLinks>
    <vt:vector size="24" baseType="variant">
      <vt:variant>
        <vt:i4>720983</vt:i4>
      </vt:variant>
      <vt:variant>
        <vt:i4>9</vt:i4>
      </vt:variant>
      <vt:variant>
        <vt:i4>0</vt:i4>
      </vt:variant>
      <vt:variant>
        <vt:i4>5</vt:i4>
      </vt:variant>
      <vt:variant>
        <vt:lpwstr>https://watech.wa.gov/sites/default/files/2025-12/DATA-04_AI_Policy.pdf</vt:lpwstr>
      </vt:variant>
      <vt:variant>
        <vt:lpwstr/>
      </vt:variant>
      <vt:variant>
        <vt:i4>1835085</vt:i4>
      </vt:variant>
      <vt:variant>
        <vt:i4>6</vt:i4>
      </vt:variant>
      <vt:variant>
        <vt:i4>0</vt:i4>
      </vt:variant>
      <vt:variant>
        <vt:i4>5</vt:i4>
      </vt:variant>
      <vt:variant>
        <vt:lpwstr>https://watech.wa.gov/policies/washington-state-cybersecurity-program-policy</vt:lpwstr>
      </vt:variant>
      <vt:variant>
        <vt:lpwstr/>
      </vt:variant>
      <vt:variant>
        <vt:i4>1835085</vt:i4>
      </vt:variant>
      <vt:variant>
        <vt:i4>3</vt:i4>
      </vt:variant>
      <vt:variant>
        <vt:i4>0</vt:i4>
      </vt:variant>
      <vt:variant>
        <vt:i4>5</vt:i4>
      </vt:variant>
      <vt:variant>
        <vt:lpwstr>https://watech.wa.gov/policies/washington-state-cybersecurity-program-policy</vt:lpwstr>
      </vt:variant>
      <vt:variant>
        <vt:lpwstr/>
      </vt:variant>
      <vt:variant>
        <vt:i4>720983</vt:i4>
      </vt:variant>
      <vt:variant>
        <vt:i4>0</vt:i4>
      </vt:variant>
      <vt:variant>
        <vt:i4>0</vt:i4>
      </vt:variant>
      <vt:variant>
        <vt:i4>5</vt:i4>
      </vt:variant>
      <vt:variant>
        <vt:lpwstr>https://watech.wa.gov/sites/default/files/2025-12/DATA-04_AI_Policy.pdf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JuanH@DOR.WA.GOV</dc:creator>
  <cp:keywords/>
  <cp:lastModifiedBy>Leon Casaubon</cp:lastModifiedBy>
  <cp:revision>1</cp:revision>
  <dcterms:created xsi:type="dcterms:W3CDTF">2026-08-08T18:54:00Z</dcterms:created>
  <dcterms:modified xsi:type="dcterms:W3CDTF">2026-08-08T18:54:00Z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0x0101000AE9152E4C4E074AA7C5B27BC41AEC69</vt:lpwstr>
  </property>
</Properties>
</file>