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E4E81" w14:textId="77777777" w:rsidR="00706F8E" w:rsidRPr="00E5775C" w:rsidRDefault="00832591" w:rsidP="00706F8E">
      <w:pPr>
        <w:spacing w:after="75" w:line="240" w:lineRule="auto"/>
        <w:rPr>
          <w:rFonts w:ascii="Arial" w:hAnsi="Arial" w:cs="Arial"/>
          <w:color w:val="364655"/>
          <w:sz w:val="21"/>
          <w:szCs w:val="21"/>
        </w:rPr>
      </w:pPr>
      <w:r>
        <w:rPr>
          <w:rFonts w:ascii="Arial" w:hAnsi="Arial" w:cs="Arial"/>
        </w:rPr>
        <w:t xml:space="preserve"> </w:t>
      </w:r>
      <w:r w:rsidR="00706F8E" w:rsidRPr="00E5775C">
        <w:rPr>
          <w:rFonts w:ascii="Arial" w:hAnsi="Arial" w:cs="Arial"/>
          <w:color w:val="333333"/>
          <w:sz w:val="29"/>
          <w:szCs w:val="29"/>
        </w:rPr>
        <w:t>Officer/Analyst - Customer Due Diligence Operations</w:t>
      </w:r>
    </w:p>
    <w:p w14:paraId="3F769E07" w14:textId="77777777" w:rsidR="00706F8E" w:rsidRPr="00E5775C" w:rsidRDefault="00706F8E" w:rsidP="00706F8E">
      <w:pPr>
        <w:spacing w:after="0" w:line="240" w:lineRule="auto"/>
        <w:rPr>
          <w:rFonts w:ascii="Arial" w:hAnsi="Arial" w:cs="Arial"/>
          <w:color w:val="364655"/>
          <w:sz w:val="21"/>
          <w:szCs w:val="21"/>
        </w:rPr>
      </w:pPr>
      <w:r w:rsidRPr="00E5775C">
        <w:rPr>
          <w:rFonts w:ascii="Arial" w:hAnsi="Arial" w:cs="Arial"/>
          <w:color w:val="364655"/>
          <w:sz w:val="21"/>
          <w:szCs w:val="21"/>
        </w:rPr>
        <w:t> </w:t>
      </w:r>
    </w:p>
    <w:p w14:paraId="4499535A" w14:textId="77777777" w:rsidR="00706F8E" w:rsidRPr="00E5775C" w:rsidRDefault="00706F8E" w:rsidP="00706F8E">
      <w:pPr>
        <w:spacing w:after="0" w:line="240" w:lineRule="auto"/>
        <w:outlineLvl w:val="1"/>
        <w:rPr>
          <w:rFonts w:ascii="Arial" w:hAnsi="Arial" w:cs="Arial"/>
          <w:color w:val="364655"/>
          <w:sz w:val="21"/>
          <w:szCs w:val="21"/>
        </w:rPr>
      </w:pPr>
      <w:r w:rsidRPr="00E5775C">
        <w:rPr>
          <w:rFonts w:ascii="Arial" w:hAnsi="Arial" w:cs="Arial"/>
          <w:b/>
          <w:bCs/>
          <w:color w:val="0756AF"/>
          <w:sz w:val="24"/>
          <w:szCs w:val="24"/>
        </w:rPr>
        <w:t>Job:</w:t>
      </w:r>
      <w:r w:rsidRPr="00E5775C">
        <w:rPr>
          <w:rFonts w:ascii="Arial" w:hAnsi="Arial" w:cs="Arial"/>
          <w:color w:val="364655"/>
          <w:sz w:val="21"/>
          <w:szCs w:val="21"/>
        </w:rPr>
        <w:t> Operations</w:t>
      </w:r>
    </w:p>
    <w:p w14:paraId="491F713F" w14:textId="77777777" w:rsidR="00706F8E" w:rsidRPr="00E5775C" w:rsidRDefault="00706F8E" w:rsidP="00706F8E">
      <w:pPr>
        <w:spacing w:after="0" w:line="240" w:lineRule="auto"/>
        <w:outlineLvl w:val="1"/>
        <w:rPr>
          <w:rFonts w:ascii="Arial" w:hAnsi="Arial" w:cs="Arial"/>
          <w:color w:val="364655"/>
          <w:sz w:val="21"/>
          <w:szCs w:val="21"/>
        </w:rPr>
      </w:pPr>
      <w:r w:rsidRPr="00E5775C">
        <w:rPr>
          <w:rFonts w:ascii="Arial" w:hAnsi="Arial" w:cs="Arial"/>
          <w:b/>
          <w:bCs/>
          <w:color w:val="0756AF"/>
          <w:sz w:val="24"/>
          <w:szCs w:val="24"/>
        </w:rPr>
        <w:t>Primary Location:</w:t>
      </w:r>
      <w:r w:rsidRPr="00E5775C">
        <w:rPr>
          <w:rFonts w:ascii="Arial" w:hAnsi="Arial" w:cs="Arial"/>
          <w:color w:val="364655"/>
          <w:sz w:val="21"/>
          <w:szCs w:val="21"/>
        </w:rPr>
        <w:t> Greater China and North Asia-China-Tianjin</w:t>
      </w:r>
    </w:p>
    <w:p w14:paraId="564857A6" w14:textId="77777777" w:rsidR="00706F8E" w:rsidRPr="00E5775C" w:rsidRDefault="00706F8E" w:rsidP="00706F8E">
      <w:pPr>
        <w:spacing w:after="0" w:line="240" w:lineRule="auto"/>
        <w:outlineLvl w:val="1"/>
        <w:rPr>
          <w:rFonts w:ascii="Arial" w:hAnsi="Arial" w:cs="Arial"/>
          <w:color w:val="364655"/>
          <w:sz w:val="21"/>
          <w:szCs w:val="21"/>
        </w:rPr>
      </w:pPr>
      <w:r w:rsidRPr="00E5775C">
        <w:rPr>
          <w:rFonts w:ascii="Arial" w:hAnsi="Arial" w:cs="Arial"/>
          <w:b/>
          <w:bCs/>
          <w:color w:val="0756AF"/>
          <w:sz w:val="24"/>
          <w:szCs w:val="24"/>
        </w:rPr>
        <w:t>Schedule:</w:t>
      </w:r>
      <w:r w:rsidRPr="00E5775C">
        <w:rPr>
          <w:rFonts w:ascii="Arial" w:hAnsi="Arial" w:cs="Arial"/>
          <w:color w:val="364655"/>
          <w:sz w:val="21"/>
          <w:szCs w:val="21"/>
        </w:rPr>
        <w:t> Full-time</w:t>
      </w:r>
    </w:p>
    <w:p w14:paraId="30576C5F" w14:textId="77777777" w:rsidR="00706F8E" w:rsidRPr="00E5775C" w:rsidRDefault="00706F8E" w:rsidP="00706F8E">
      <w:pPr>
        <w:spacing w:after="0" w:line="240" w:lineRule="auto"/>
        <w:rPr>
          <w:rFonts w:ascii="Arial" w:hAnsi="Arial" w:cs="Arial"/>
          <w:color w:val="364655"/>
          <w:sz w:val="21"/>
          <w:szCs w:val="21"/>
        </w:rPr>
      </w:pPr>
      <w:r w:rsidRPr="00E5775C">
        <w:rPr>
          <w:rFonts w:ascii="Arial" w:hAnsi="Arial" w:cs="Arial"/>
          <w:b/>
          <w:bCs/>
          <w:color w:val="0756AF"/>
          <w:sz w:val="24"/>
          <w:szCs w:val="24"/>
        </w:rPr>
        <w:t>Global Grade:</w:t>
      </w:r>
      <w:r w:rsidRPr="00E5775C">
        <w:rPr>
          <w:rFonts w:ascii="Arial" w:hAnsi="Arial" w:cs="Arial"/>
          <w:color w:val="364655"/>
          <w:sz w:val="21"/>
          <w:szCs w:val="21"/>
        </w:rPr>
        <w:t> Band 9</w:t>
      </w:r>
    </w:p>
    <w:p w14:paraId="24E55606" w14:textId="77777777" w:rsidR="00706F8E" w:rsidRPr="00E5775C" w:rsidRDefault="00706F8E" w:rsidP="00706F8E">
      <w:pPr>
        <w:spacing w:after="0" w:line="240" w:lineRule="auto"/>
        <w:outlineLvl w:val="1"/>
        <w:rPr>
          <w:rFonts w:ascii="Arial" w:hAnsi="Arial" w:cs="Arial"/>
          <w:color w:val="364655"/>
          <w:sz w:val="21"/>
          <w:szCs w:val="21"/>
        </w:rPr>
      </w:pPr>
      <w:r w:rsidRPr="00E5775C">
        <w:rPr>
          <w:rFonts w:ascii="Arial" w:hAnsi="Arial" w:cs="Arial"/>
          <w:b/>
          <w:bCs/>
          <w:color w:val="0756AF"/>
          <w:sz w:val="24"/>
          <w:szCs w:val="24"/>
        </w:rPr>
        <w:t>Employee Status:</w:t>
      </w:r>
      <w:r w:rsidRPr="00E5775C">
        <w:rPr>
          <w:rFonts w:ascii="Arial" w:hAnsi="Arial" w:cs="Arial"/>
          <w:color w:val="364655"/>
          <w:sz w:val="21"/>
          <w:szCs w:val="21"/>
        </w:rPr>
        <w:t> Permanent</w:t>
      </w:r>
    </w:p>
    <w:p w14:paraId="0D21F209" w14:textId="77777777" w:rsidR="00706F8E" w:rsidRPr="00E5775C" w:rsidRDefault="00706F8E" w:rsidP="00706F8E">
      <w:pPr>
        <w:spacing w:after="0" w:line="240" w:lineRule="auto"/>
        <w:outlineLvl w:val="1"/>
        <w:rPr>
          <w:rFonts w:ascii="Arial" w:hAnsi="Arial" w:cs="Arial"/>
          <w:color w:val="364655"/>
          <w:sz w:val="21"/>
          <w:szCs w:val="21"/>
        </w:rPr>
      </w:pPr>
      <w:r w:rsidRPr="00E5775C">
        <w:rPr>
          <w:rFonts w:ascii="Arial" w:hAnsi="Arial" w:cs="Arial"/>
          <w:b/>
          <w:bCs/>
          <w:color w:val="0756AF"/>
          <w:sz w:val="24"/>
          <w:szCs w:val="24"/>
        </w:rPr>
        <w:t>Posting Date:</w:t>
      </w:r>
      <w:r w:rsidRPr="00E5775C">
        <w:rPr>
          <w:rFonts w:ascii="Arial" w:hAnsi="Arial" w:cs="Arial"/>
          <w:color w:val="364655"/>
          <w:sz w:val="21"/>
          <w:szCs w:val="21"/>
        </w:rPr>
        <w:t> 30/Oct/2019</w:t>
      </w:r>
    </w:p>
    <w:p w14:paraId="6A4EEC2E" w14:textId="77777777" w:rsidR="00706F8E" w:rsidRPr="00E5775C" w:rsidRDefault="00706F8E" w:rsidP="00706F8E">
      <w:pPr>
        <w:spacing w:after="0" w:line="240" w:lineRule="auto"/>
        <w:outlineLvl w:val="1"/>
        <w:rPr>
          <w:rFonts w:ascii="Arial" w:hAnsi="Arial" w:cs="Arial"/>
          <w:color w:val="364655"/>
          <w:sz w:val="21"/>
          <w:szCs w:val="21"/>
        </w:rPr>
      </w:pPr>
      <w:r w:rsidRPr="00E5775C">
        <w:rPr>
          <w:rFonts w:ascii="Arial" w:hAnsi="Arial" w:cs="Arial"/>
          <w:b/>
          <w:bCs/>
          <w:color w:val="0756AF"/>
          <w:sz w:val="24"/>
          <w:szCs w:val="24"/>
        </w:rPr>
        <w:t>Unposting Date:</w:t>
      </w:r>
      <w:r w:rsidRPr="00E5775C">
        <w:rPr>
          <w:rFonts w:ascii="Arial" w:hAnsi="Arial" w:cs="Arial"/>
          <w:color w:val="364655"/>
          <w:sz w:val="21"/>
          <w:szCs w:val="21"/>
        </w:rPr>
        <w:t> Ongoing</w:t>
      </w:r>
    </w:p>
    <w:p w14:paraId="70C7814A" w14:textId="77777777" w:rsidR="00706F8E" w:rsidRPr="00E5775C" w:rsidRDefault="00706F8E" w:rsidP="00706F8E">
      <w:pPr>
        <w:spacing w:after="0" w:line="240" w:lineRule="auto"/>
        <w:rPr>
          <w:rFonts w:ascii="Arial" w:hAnsi="Arial" w:cs="Arial"/>
          <w:color w:val="364655"/>
          <w:sz w:val="21"/>
          <w:szCs w:val="21"/>
        </w:rPr>
      </w:pPr>
      <w:r w:rsidRPr="00E5775C">
        <w:rPr>
          <w:rFonts w:ascii="Arial" w:hAnsi="Arial" w:cs="Arial"/>
          <w:color w:val="364655"/>
          <w:sz w:val="21"/>
          <w:szCs w:val="21"/>
        </w:rPr>
        <w:t> </w:t>
      </w:r>
    </w:p>
    <w:p w14:paraId="30B7F942" w14:textId="77777777" w:rsidR="00706F8E" w:rsidRPr="00E5775C" w:rsidRDefault="00706F8E" w:rsidP="00706F8E">
      <w:pPr>
        <w:spacing w:after="0" w:line="240" w:lineRule="auto"/>
        <w:rPr>
          <w:rFonts w:ascii="Arial" w:hAnsi="Arial" w:cs="Arial"/>
          <w:color w:val="364655"/>
          <w:sz w:val="20"/>
          <w:szCs w:val="20"/>
        </w:rPr>
      </w:pPr>
      <w:r w:rsidRPr="00E5775C">
        <w:rPr>
          <w:rFonts w:ascii="Arial" w:hAnsi="Arial" w:cs="Arial"/>
          <w:b/>
          <w:bCs/>
          <w:color w:val="364655"/>
          <w:sz w:val="20"/>
          <w:szCs w:val="20"/>
        </w:rPr>
        <w:t>Ready to take the next step in your career with us? </w:t>
      </w:r>
    </w:p>
    <w:p w14:paraId="1CE218BE" w14:textId="77777777" w:rsidR="00706F8E" w:rsidRPr="00E5775C" w:rsidRDefault="00706F8E" w:rsidP="00706F8E">
      <w:pPr>
        <w:spacing w:after="0" w:line="240" w:lineRule="auto"/>
        <w:rPr>
          <w:rFonts w:ascii="Arial" w:hAnsi="Arial" w:cs="Arial"/>
          <w:color w:val="364655"/>
          <w:sz w:val="20"/>
          <w:szCs w:val="20"/>
        </w:rPr>
      </w:pPr>
    </w:p>
    <w:p w14:paraId="28DBFA9B" w14:textId="77777777" w:rsidR="00706F8E" w:rsidRPr="00E5775C" w:rsidRDefault="00706F8E" w:rsidP="00706F8E">
      <w:pPr>
        <w:spacing w:after="0" w:line="240" w:lineRule="auto"/>
        <w:rPr>
          <w:rFonts w:ascii="Arial" w:hAnsi="Arial" w:cs="Arial"/>
          <w:color w:val="364655"/>
          <w:sz w:val="20"/>
          <w:szCs w:val="20"/>
        </w:rPr>
      </w:pPr>
      <w:r w:rsidRPr="00E5775C">
        <w:rPr>
          <w:rFonts w:ascii="Arial" w:hAnsi="Arial" w:cs="Arial"/>
          <w:color w:val="364655"/>
          <w:sz w:val="20"/>
          <w:szCs w:val="20"/>
        </w:rPr>
        <w:t>To us, good performance is about much more than turning a profit.  It's about showing how you embody our valued behaviours - do the right thing, better together and never settle - as well as our brand promise, Here for good. </w:t>
      </w:r>
    </w:p>
    <w:p w14:paraId="1A29CE06" w14:textId="77777777" w:rsidR="00706F8E" w:rsidRPr="00E5775C" w:rsidRDefault="00706F8E" w:rsidP="00706F8E">
      <w:pPr>
        <w:spacing w:after="0" w:line="240" w:lineRule="auto"/>
        <w:rPr>
          <w:rFonts w:ascii="Arial" w:hAnsi="Arial" w:cs="Arial"/>
          <w:color w:val="364655"/>
          <w:sz w:val="20"/>
          <w:szCs w:val="20"/>
        </w:rPr>
      </w:pPr>
    </w:p>
    <w:p w14:paraId="50D17B1E" w14:textId="77777777" w:rsidR="00706F8E" w:rsidRPr="00E5775C" w:rsidRDefault="00706F8E" w:rsidP="00706F8E">
      <w:pPr>
        <w:spacing w:after="0" w:line="240" w:lineRule="auto"/>
        <w:rPr>
          <w:rFonts w:ascii="Arial" w:hAnsi="Arial" w:cs="Arial"/>
          <w:color w:val="364655"/>
          <w:sz w:val="20"/>
          <w:szCs w:val="20"/>
        </w:rPr>
      </w:pPr>
      <w:r w:rsidRPr="00E5775C">
        <w:rPr>
          <w:rFonts w:ascii="Arial" w:hAnsi="Arial" w:cs="Arial"/>
          <w:color w:val="364655"/>
          <w:sz w:val="20"/>
          <w:szCs w:val="20"/>
        </w:rPr>
        <w:t>We're committed to promoting equality in the workplace and creating an inclusive and flexible culture - one where everyone can realise their full potential and make a positive contribution to our organisation. This in turn helps us to provide better support to our broad client base.</w:t>
      </w:r>
    </w:p>
    <w:p w14:paraId="0F6D1DEB" w14:textId="77777777" w:rsidR="00706F8E" w:rsidRPr="00E5775C" w:rsidRDefault="00706F8E" w:rsidP="00706F8E">
      <w:pPr>
        <w:spacing w:after="0" w:line="240" w:lineRule="auto"/>
        <w:rPr>
          <w:rFonts w:ascii="Arial" w:hAnsi="Arial" w:cs="Arial"/>
          <w:color w:val="364655"/>
          <w:sz w:val="20"/>
          <w:szCs w:val="20"/>
        </w:rPr>
      </w:pPr>
    </w:p>
    <w:p w14:paraId="6821890D" w14:textId="77777777" w:rsidR="00706F8E" w:rsidRPr="00E5775C" w:rsidRDefault="00706F8E" w:rsidP="00706F8E">
      <w:pPr>
        <w:spacing w:after="0" w:line="240" w:lineRule="auto"/>
        <w:rPr>
          <w:rFonts w:ascii="Arial" w:hAnsi="Arial" w:cs="Arial"/>
          <w:color w:val="364655"/>
          <w:sz w:val="20"/>
          <w:szCs w:val="20"/>
        </w:rPr>
      </w:pPr>
      <w:r w:rsidRPr="00E5775C">
        <w:rPr>
          <w:rFonts w:ascii="Arial" w:hAnsi="Arial" w:cs="Arial"/>
          <w:b/>
          <w:bCs/>
          <w:color w:val="364655"/>
          <w:sz w:val="20"/>
          <w:szCs w:val="20"/>
        </w:rPr>
        <w:t>The Role Responsibilities</w:t>
      </w:r>
    </w:p>
    <w:p w14:paraId="699398E7" w14:textId="77777777" w:rsidR="00706F8E" w:rsidRPr="00E5775C" w:rsidRDefault="00706F8E" w:rsidP="00706F8E">
      <w:pPr>
        <w:spacing w:after="0" w:line="240" w:lineRule="auto"/>
        <w:rPr>
          <w:rFonts w:ascii="Arial" w:hAnsi="Arial" w:cs="Arial"/>
          <w:color w:val="364655"/>
          <w:sz w:val="20"/>
          <w:szCs w:val="20"/>
        </w:rPr>
      </w:pPr>
    </w:p>
    <w:p w14:paraId="5E5DC64F" w14:textId="77777777" w:rsidR="00706F8E" w:rsidRPr="00E5775C" w:rsidRDefault="00706F8E" w:rsidP="00706F8E">
      <w:pPr>
        <w:spacing w:after="0" w:line="240" w:lineRule="auto"/>
        <w:rPr>
          <w:rFonts w:ascii="Arial" w:hAnsi="Arial" w:cs="Arial"/>
          <w:color w:val="364655"/>
          <w:sz w:val="20"/>
          <w:szCs w:val="20"/>
        </w:rPr>
      </w:pPr>
      <w:r w:rsidRPr="00E5775C">
        <w:rPr>
          <w:rFonts w:ascii="Arial" w:hAnsi="Arial" w:cs="Arial"/>
          <w:b/>
          <w:bCs/>
          <w:color w:val="364655"/>
          <w:sz w:val="20"/>
          <w:szCs w:val="20"/>
        </w:rPr>
        <w:t>Strategy</w:t>
      </w:r>
    </w:p>
    <w:p w14:paraId="4E8DB039" w14:textId="77777777" w:rsidR="00706F8E" w:rsidRPr="00E5775C" w:rsidRDefault="00706F8E" w:rsidP="00706F8E">
      <w:pPr>
        <w:numPr>
          <w:ilvl w:val="0"/>
          <w:numId w:val="2"/>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Responsible for the CDD per bank CDD requirement</w:t>
      </w:r>
    </w:p>
    <w:p w14:paraId="2CAE4749" w14:textId="77777777" w:rsidR="00706F8E" w:rsidRPr="00E5775C" w:rsidRDefault="00706F8E" w:rsidP="00706F8E">
      <w:pPr>
        <w:spacing w:after="0" w:line="240" w:lineRule="auto"/>
        <w:rPr>
          <w:rFonts w:ascii="Arial" w:hAnsi="Arial" w:cs="Arial"/>
          <w:color w:val="364655"/>
          <w:sz w:val="20"/>
          <w:szCs w:val="20"/>
        </w:rPr>
      </w:pPr>
      <w:r w:rsidRPr="00E5775C">
        <w:rPr>
          <w:rFonts w:ascii="Arial" w:hAnsi="Arial" w:cs="Arial"/>
          <w:b/>
          <w:bCs/>
          <w:color w:val="364655"/>
          <w:sz w:val="20"/>
          <w:szCs w:val="20"/>
        </w:rPr>
        <w:t>Business</w:t>
      </w:r>
    </w:p>
    <w:p w14:paraId="34F1876C" w14:textId="77777777" w:rsidR="00706F8E" w:rsidRPr="00E5775C" w:rsidRDefault="00706F8E" w:rsidP="00706F8E">
      <w:pPr>
        <w:numPr>
          <w:ilvl w:val="0"/>
          <w:numId w:val="3"/>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To ensure compliance with the Money Laundering Prevention Policy/Guideline/Procedure and the Code of Conduct;</w:t>
      </w:r>
    </w:p>
    <w:p w14:paraId="30E51426" w14:textId="77777777" w:rsidR="00706F8E" w:rsidRPr="00E5775C" w:rsidRDefault="00706F8E" w:rsidP="00706F8E">
      <w:pPr>
        <w:numPr>
          <w:ilvl w:val="0"/>
          <w:numId w:val="3"/>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Maker to perform CDD (Customer Due Diligence) making process according to Group standards and country specific regulations;</w:t>
      </w:r>
    </w:p>
    <w:p w14:paraId="5F42CE71" w14:textId="77777777" w:rsidR="00706F8E" w:rsidRPr="00E5775C" w:rsidRDefault="00706F8E" w:rsidP="00706F8E">
      <w:pPr>
        <w:numPr>
          <w:ilvl w:val="0"/>
          <w:numId w:val="3"/>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Checker to perform CDD (Customer Due Diligence) review checking process according to Group standards and country specific regulations. Provide quality control assurance for the completeness of CDD records and compliance with the Standards.</w:t>
      </w:r>
    </w:p>
    <w:p w14:paraId="20F6C0AF" w14:textId="77777777" w:rsidR="00706F8E" w:rsidRPr="00E5775C" w:rsidRDefault="00706F8E" w:rsidP="00706F8E">
      <w:pPr>
        <w:numPr>
          <w:ilvl w:val="0"/>
          <w:numId w:val="3"/>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Support RM in generating CDD records that are consistent with the Standards and any additional local regulatory requirements. Also manage and assist the RMs with CDD Reviews.</w:t>
      </w:r>
    </w:p>
    <w:p w14:paraId="354AC82D" w14:textId="77777777" w:rsidR="00706F8E" w:rsidRPr="00E5775C" w:rsidRDefault="00706F8E" w:rsidP="00706F8E">
      <w:pPr>
        <w:spacing w:after="0" w:line="240" w:lineRule="auto"/>
        <w:rPr>
          <w:rFonts w:ascii="Arial" w:hAnsi="Arial" w:cs="Arial"/>
          <w:color w:val="364655"/>
          <w:sz w:val="20"/>
          <w:szCs w:val="20"/>
        </w:rPr>
      </w:pPr>
      <w:r w:rsidRPr="00E5775C">
        <w:rPr>
          <w:rFonts w:ascii="Arial" w:hAnsi="Arial" w:cs="Arial"/>
          <w:b/>
          <w:bCs/>
          <w:color w:val="364655"/>
          <w:sz w:val="20"/>
          <w:szCs w:val="20"/>
        </w:rPr>
        <w:t>Processes</w:t>
      </w:r>
    </w:p>
    <w:p w14:paraId="10EE2E95" w14:textId="77777777" w:rsidR="00706F8E" w:rsidRPr="00E5775C" w:rsidRDefault="00706F8E" w:rsidP="00706F8E">
      <w:pPr>
        <w:numPr>
          <w:ilvl w:val="0"/>
          <w:numId w:val="4"/>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To report and escalate any potential risk identified as part of daily BAU (Business as Usual);</w:t>
      </w:r>
    </w:p>
    <w:p w14:paraId="1C7DC181" w14:textId="77777777" w:rsidR="00706F8E" w:rsidRPr="00E5775C" w:rsidRDefault="00706F8E" w:rsidP="00706F8E">
      <w:pPr>
        <w:numPr>
          <w:ilvl w:val="0"/>
          <w:numId w:val="4"/>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To ensure no breach of SLA (Service Level Agreement);</w:t>
      </w:r>
    </w:p>
    <w:p w14:paraId="1F752E42" w14:textId="77777777" w:rsidR="00706F8E" w:rsidRPr="00E5775C" w:rsidRDefault="00706F8E" w:rsidP="00706F8E">
      <w:pPr>
        <w:numPr>
          <w:ilvl w:val="0"/>
          <w:numId w:val="4"/>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To control and enhance efficiency and quality as per team requirements and job objective;</w:t>
      </w:r>
    </w:p>
    <w:p w14:paraId="6D7C5CE3" w14:textId="77777777" w:rsidR="00706F8E" w:rsidRPr="00E5775C" w:rsidRDefault="00706F8E" w:rsidP="00706F8E">
      <w:pPr>
        <w:numPr>
          <w:ilvl w:val="0"/>
          <w:numId w:val="4"/>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To ensure the attendance of meeting and training which are arranged.</w:t>
      </w:r>
    </w:p>
    <w:p w14:paraId="5704522C" w14:textId="77777777" w:rsidR="00706F8E" w:rsidRPr="00E5775C" w:rsidRDefault="00706F8E" w:rsidP="00706F8E">
      <w:pPr>
        <w:numPr>
          <w:ilvl w:val="0"/>
          <w:numId w:val="4"/>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To maintain a good working relationship within and outside the team.</w:t>
      </w:r>
    </w:p>
    <w:p w14:paraId="5BD1366D" w14:textId="77777777" w:rsidR="00706F8E" w:rsidRPr="00E5775C" w:rsidRDefault="00706F8E" w:rsidP="00706F8E">
      <w:pPr>
        <w:numPr>
          <w:ilvl w:val="0"/>
          <w:numId w:val="4"/>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To support the Management’ in daily BAU (Business as Usual).</w:t>
      </w:r>
    </w:p>
    <w:p w14:paraId="0421E8A4" w14:textId="77777777" w:rsidR="00706F8E" w:rsidRPr="00E5775C" w:rsidRDefault="00706F8E" w:rsidP="00706F8E">
      <w:pPr>
        <w:numPr>
          <w:ilvl w:val="0"/>
          <w:numId w:val="4"/>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To support the Management or Team on required activities.</w:t>
      </w:r>
    </w:p>
    <w:p w14:paraId="23E6846B" w14:textId="77777777" w:rsidR="00706F8E" w:rsidRPr="00E5775C" w:rsidRDefault="00706F8E" w:rsidP="00706F8E">
      <w:pPr>
        <w:spacing w:after="0" w:line="240" w:lineRule="auto"/>
        <w:rPr>
          <w:rFonts w:ascii="Arial" w:hAnsi="Arial" w:cs="Arial"/>
          <w:color w:val="364655"/>
          <w:sz w:val="20"/>
          <w:szCs w:val="20"/>
        </w:rPr>
      </w:pPr>
      <w:r w:rsidRPr="00E5775C">
        <w:rPr>
          <w:rFonts w:ascii="Arial" w:hAnsi="Arial" w:cs="Arial"/>
          <w:b/>
          <w:bCs/>
          <w:color w:val="364655"/>
          <w:sz w:val="20"/>
          <w:szCs w:val="20"/>
        </w:rPr>
        <w:t>Regulatory &amp; Business Conduct</w:t>
      </w:r>
    </w:p>
    <w:p w14:paraId="5D72B01F" w14:textId="77777777" w:rsidR="00706F8E" w:rsidRPr="00E5775C" w:rsidRDefault="00706F8E" w:rsidP="00706F8E">
      <w:pPr>
        <w:numPr>
          <w:ilvl w:val="0"/>
          <w:numId w:val="5"/>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Display exemplary conduct and live by the Group’s Values and Code of Conduct.</w:t>
      </w:r>
    </w:p>
    <w:p w14:paraId="13DB7865" w14:textId="77777777" w:rsidR="00706F8E" w:rsidRPr="00E5775C" w:rsidRDefault="00706F8E" w:rsidP="00706F8E">
      <w:pPr>
        <w:numPr>
          <w:ilvl w:val="0"/>
          <w:numId w:val="5"/>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lastRenderedPageBreak/>
        <w:t>Take personal responsibility for embedding the highest standards of ethics, including regulatory and business conduct, across Standard Chartered Bank. This includes understanding and ensuring compliance with, in letter and spirit, all applicable laws, regulations, guidelines and the Group Code of Conduct.</w:t>
      </w:r>
    </w:p>
    <w:p w14:paraId="65A67A14" w14:textId="77777777" w:rsidR="00706F8E" w:rsidRPr="00E5775C" w:rsidRDefault="00706F8E" w:rsidP="00706F8E">
      <w:pPr>
        <w:numPr>
          <w:ilvl w:val="0"/>
          <w:numId w:val="5"/>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Lead the Continuous Review and Monitoring team to achieve the outcomes set out in the Bank’s Conduct Principles: Fair Outcomes for Clients; Effective Operation of Financial Markets; Financial Crime Prevention; The Right Environment.</w:t>
      </w:r>
    </w:p>
    <w:p w14:paraId="3EA644BB" w14:textId="77777777" w:rsidR="00706F8E" w:rsidRPr="00E5775C" w:rsidRDefault="00706F8E" w:rsidP="00706F8E">
      <w:pPr>
        <w:numPr>
          <w:ilvl w:val="0"/>
          <w:numId w:val="5"/>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Effectively and collaboratively identify, escalate, mitigate and resolve risk, conduct and compliance matters.</w:t>
      </w:r>
    </w:p>
    <w:p w14:paraId="0BA79041" w14:textId="77777777" w:rsidR="00706F8E" w:rsidRPr="00E5775C" w:rsidRDefault="00706F8E" w:rsidP="00706F8E">
      <w:pPr>
        <w:numPr>
          <w:ilvl w:val="0"/>
          <w:numId w:val="5"/>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Support relevant stakeholders to respond to regulatory questions.</w:t>
      </w:r>
    </w:p>
    <w:p w14:paraId="3655CAAE" w14:textId="77777777" w:rsidR="00706F8E" w:rsidRPr="00E5775C" w:rsidRDefault="00706F8E" w:rsidP="00706F8E">
      <w:pPr>
        <w:spacing w:after="0" w:line="240" w:lineRule="auto"/>
        <w:rPr>
          <w:rFonts w:ascii="Arial" w:hAnsi="Arial" w:cs="Arial"/>
          <w:color w:val="364655"/>
          <w:sz w:val="20"/>
          <w:szCs w:val="20"/>
        </w:rPr>
      </w:pPr>
      <w:r w:rsidRPr="00E5775C">
        <w:rPr>
          <w:rFonts w:ascii="Arial" w:hAnsi="Arial" w:cs="Arial"/>
          <w:b/>
          <w:bCs/>
          <w:color w:val="364655"/>
          <w:sz w:val="20"/>
          <w:szCs w:val="20"/>
        </w:rPr>
        <w:t>Key Stakeholders</w:t>
      </w:r>
    </w:p>
    <w:p w14:paraId="144D507A" w14:textId="77777777" w:rsidR="00706F8E" w:rsidRPr="00E5775C" w:rsidRDefault="00706F8E" w:rsidP="00706F8E">
      <w:pPr>
        <w:numPr>
          <w:ilvl w:val="0"/>
          <w:numId w:val="6"/>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COBAM</w:t>
      </w:r>
    </w:p>
    <w:p w14:paraId="751514EF" w14:textId="77777777" w:rsidR="00706F8E" w:rsidRPr="00E5775C" w:rsidRDefault="00706F8E" w:rsidP="00706F8E">
      <w:pPr>
        <w:numPr>
          <w:ilvl w:val="0"/>
          <w:numId w:val="6"/>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Business CRM</w:t>
      </w:r>
    </w:p>
    <w:p w14:paraId="44D11301" w14:textId="77777777" w:rsidR="00706F8E" w:rsidRPr="00E5775C" w:rsidRDefault="00706F8E" w:rsidP="00706F8E">
      <w:pPr>
        <w:spacing w:after="0" w:line="240" w:lineRule="auto"/>
        <w:rPr>
          <w:rFonts w:ascii="Arial" w:hAnsi="Arial" w:cs="Arial"/>
          <w:color w:val="364655"/>
          <w:sz w:val="20"/>
          <w:szCs w:val="20"/>
        </w:rPr>
      </w:pPr>
      <w:r w:rsidRPr="00E5775C">
        <w:rPr>
          <w:rFonts w:ascii="Arial" w:hAnsi="Arial" w:cs="Arial"/>
          <w:b/>
          <w:bCs/>
          <w:color w:val="364655"/>
          <w:sz w:val="20"/>
          <w:szCs w:val="20"/>
        </w:rPr>
        <w:t>Other Responsibilities</w:t>
      </w:r>
    </w:p>
    <w:p w14:paraId="23D2E2B5" w14:textId="77777777" w:rsidR="00706F8E" w:rsidRPr="00E5775C" w:rsidRDefault="00706F8E" w:rsidP="00706F8E">
      <w:pPr>
        <w:numPr>
          <w:ilvl w:val="0"/>
          <w:numId w:val="7"/>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Embed Here for good and Group’s brand and values in all Group Businesses.</w:t>
      </w:r>
    </w:p>
    <w:p w14:paraId="6C500F52" w14:textId="77777777" w:rsidR="00706F8E" w:rsidRPr="00E5775C" w:rsidRDefault="00706F8E" w:rsidP="00706F8E">
      <w:pPr>
        <w:numPr>
          <w:ilvl w:val="0"/>
          <w:numId w:val="7"/>
        </w:numPr>
        <w:spacing w:before="100" w:beforeAutospacing="1" w:after="100" w:afterAutospacing="1" w:line="240" w:lineRule="auto"/>
        <w:rPr>
          <w:rFonts w:ascii="Arial" w:hAnsi="Arial" w:cs="Arial"/>
          <w:color w:val="364655"/>
          <w:sz w:val="20"/>
          <w:szCs w:val="20"/>
        </w:rPr>
      </w:pPr>
      <w:r w:rsidRPr="00E5775C">
        <w:rPr>
          <w:rFonts w:ascii="Arial" w:hAnsi="Arial" w:cs="Arial"/>
          <w:color w:val="364655"/>
          <w:sz w:val="20"/>
          <w:szCs w:val="20"/>
        </w:rPr>
        <w:t>Perform other responsibilities assigned under Group, Country, Business or Functional policies and procedures.</w:t>
      </w:r>
    </w:p>
    <w:p w14:paraId="5668A743" w14:textId="77777777" w:rsidR="00706F8E" w:rsidRDefault="00706F8E" w:rsidP="00706F8E"/>
    <w:p w14:paraId="6ADE355A" w14:textId="77777777" w:rsidR="00832591" w:rsidRPr="00B62CB0" w:rsidRDefault="00832591" w:rsidP="00A906B0">
      <w:pPr>
        <w:rPr>
          <w:rFonts w:ascii="Arial" w:hAnsi="Arial" w:cs="Arial"/>
        </w:rPr>
      </w:pPr>
      <w:bookmarkStart w:id="0" w:name="_GoBack"/>
      <w:bookmarkEnd w:id="0"/>
    </w:p>
    <w:sectPr w:rsidR="00832591" w:rsidRPr="00B6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74B"/>
    <w:multiLevelType w:val="multilevel"/>
    <w:tmpl w:val="AB0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7B67"/>
    <w:multiLevelType w:val="multilevel"/>
    <w:tmpl w:val="0166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23C1C"/>
    <w:multiLevelType w:val="multilevel"/>
    <w:tmpl w:val="874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74698"/>
    <w:multiLevelType w:val="hybridMultilevel"/>
    <w:tmpl w:val="08B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C2928"/>
    <w:multiLevelType w:val="multilevel"/>
    <w:tmpl w:val="387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6633C"/>
    <w:multiLevelType w:val="multilevel"/>
    <w:tmpl w:val="A3BA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24893"/>
    <w:multiLevelType w:val="multilevel"/>
    <w:tmpl w:val="D278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C6"/>
    <w:rsid w:val="000452E7"/>
    <w:rsid w:val="002073BA"/>
    <w:rsid w:val="005412B4"/>
    <w:rsid w:val="006F5203"/>
    <w:rsid w:val="00706F8E"/>
    <w:rsid w:val="00832591"/>
    <w:rsid w:val="008C4A8A"/>
    <w:rsid w:val="008D399E"/>
    <w:rsid w:val="00A60176"/>
    <w:rsid w:val="00A906B0"/>
    <w:rsid w:val="00AE1B77"/>
    <w:rsid w:val="00B05EC6"/>
    <w:rsid w:val="00B62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62A7F-FD4F-47FC-A4BC-A78F4CCE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ultiple 1.08 li,Space"/>
    <w:qFormat/>
    <w:rsid w:val="00706F8E"/>
    <w:rPr>
      <w:rFonts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E7"/>
    <w:pPr>
      <w:ind w:left="720"/>
      <w:contextualSpacing/>
    </w:pPr>
  </w:style>
  <w:style w:type="paragraph" w:styleId="NoSpacing">
    <w:name w:val="No Spacing"/>
    <w:uiPriority w:val="1"/>
    <w:rsid w:val="000452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Victor</dc:creator>
  <cp:keywords/>
  <dc:description/>
  <cp:lastModifiedBy>Guo, Victor</cp:lastModifiedBy>
  <cp:revision>2</cp:revision>
  <dcterms:created xsi:type="dcterms:W3CDTF">2019-11-27T09:23:00Z</dcterms:created>
  <dcterms:modified xsi:type="dcterms:W3CDTF">2019-11-27T09:23:00Z</dcterms:modified>
</cp:coreProperties>
</file>