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江苏省南京市/交换性盐基总量分析报告</w:t>
      </w:r>
    </w:p>
    <w:p>
      <w:pPr>
        <w:pStyle w:val="Heading1"/>
      </w:pPr>
      <w:r>
        <w:t>一、总体情况</w:t>
      </w:r>
    </w:p>
    <w:p>
      <w:r>
        <w:t>江苏省南京市/交换性盐基总量样点统计分析：共采集有效样点199个，样点交换性盐基总量平均值为8.83cmol(+)/kg，中位值为8.43cmol(+)/kg，数值范围为3.12~20.10cmol(+)/kg，按等级划分，样点分布为：1级8个（占4.0%），2级140个（占70.4%），3级44个（占22.1%），4级6个（占3.0%），5级1个（占0.5%）。</w:t>
      </w:r>
    </w:p>
    <w:p>
      <w:r>
        <w:t>江苏省南京市/交换性盐基总量制图统计分析：制图总面积为19731.00亩，加权平均值为8.83cmol(+)/kg，中位值为8.43cmol(+)/kg，数值范围为3.12~20.10cmol(+)/kg，按等级划分，面积分布为：1级882.0亩（占4.5%），2级13580.0亩（占68.8%），3级4798.0亩（占24.3%），4级427.0亩（占2.2%），5级44.0亩（占0.2%）。</w:t>
      </w:r>
    </w:p>
    <w:p>
      <w:r>
        <w:t>南京市土壤交换性盐基总量平均值为8.83 cmol(+)/kg，处于较高水平。从自然因素分析，该地区地处长江下游冲积平原与丘陵过渡带，成土母质多为下蜀黄土及河流冲积物，富含钙、镁等盐基离子。亚热带季风气候下，淋溶作用相对温和，有利于盐基离子的保存。地形上，平原区排水相对不畅，也可能减缓盐基流失。</w:t>
        <w:br/>
        <w:br/>
        <w:t>人为活动是维持和提升该指标的关键。长期集约化农业种植，特别是习惯施用石灰改良酸性土壤以及大量投入化肥（如钙镁磷肥、钾肥），显著补充了土壤盐基库。有机肥的施用也有助于盐基离子的保持。</w:t>
        <w:br/>
        <w:br/>
        <w:t>样点平均值与制图平均值完全一致，且近95%的样点分布在1-3级（丰富至中等水平），表明该属性在区域尺度上空间变异性较低，数据可靠性高，整体盐基供应能力充足且相对均一。少量4、5级点位可能分布于淋溶较强的岗地或砂质土壤区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土壤交换性盐基总量分级分布统计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4.470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5～10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70.350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13580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68.830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10～15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22.110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4798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24.320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15～20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2.160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8.827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8.827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8.430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8.430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3.120～20.100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3.120～20.100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7.86cmol(+)/kg），园地48个（均值5.45cmol(+)/kg），林地6个（均值6.94cmol(+)/kg），耕地144个（均值3.02cmol(+)/kg）。按土地利用类型，面积分布为：其他73.0亩（均值7.86cmol(+)/kg），园地7270.0亩（均值5.45cmol(+)/kg），林地580.0亩（均值6.94cmol(+)/kg），耕地11808.0亩（均值3.02cmol(+)/kg）。</w:t>
      </w:r>
    </w:p>
    <w:p>
      <w:r>
        <w:t>南京市土壤交换性盐基总量在不同土地利用类型间差异显著。其中“其他”类型（7.86 cmol(+)/kg）和林地（6.94 cmol(+)/kg）含量较高，园地（5.45 cmol(+)/kg）居中，而耕地（3.02 cmol(+)/kg）含量最低。差异主要源于人为管理强度与养分输出差异：耕地因作物持续吸收及可能存在的酸化施肥导致盐基离子淋失强烈；林地和“其他”类型受干扰较少，盐基保存较好。建议对耕地实施测土配方施肥，增施有机肥或石灰以补充盐基离子，维持土壤肥力与缓冲性能；同时加强林地等生态系统的保护，以维持其较高的土壤养分库容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不同土地利用类型交换性盐基总量统计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4.590～20.100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4.590～20.100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4.590～20.100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4.590～20.100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8.240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3.120～16.600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3.120～16.600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7.730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5.930～11.200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5.930～11.200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3.120～16.600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3.120～16.600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6.880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4.535～9.825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4.535～9.825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7.860～7.860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7.860～7.860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8.827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3.120～20.100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3.120～20.100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10.15cmol(+)/kg），棕红壤1个（均值7.36cmol(+)/kg），水稻土1个（均值5.77cmol(+)/kg），盐化潮土9个（均值9.32cmol(+)/kg），碱化潮土6个（均值7.27cmol(+)/kg），脱潮土114个（均值9.40cmol(+)/kg），草甸风沙土13个（均值6.70cmol(+)/kg）。按土壤亚类，面积分布为：典型潮土4304.0亩（均值10.15cmol(+)/kg），棕红壤10.0亩（均值7.36cmol(+)/kg），水稻土6.0亩（均值5.77cmol(+)/kg），盐化潮土222.0亩（均值9.32cmol(+)/kg），碱化潮土505.0亩（均值7.27cmol(+)/kg），脱潮土12803.0亩（均值9.40cmol(+)/kg），草甸风沙土1881.0亩（均值6.70cmol(+)/kg）。</w:t>
      </w:r>
    </w:p>
    <w:p>
      <w:r>
        <w:t>南京市土壤交换性盐基总量数据显示，不同土壤亚类间存在显著差异。典型潮土（10.15 cmol(+)/kg）、脱潮土（9.40 cmol(+)/kg）和盐化潮土（9.32 cmol(+)/kg）的盐基总量较高，表明其盐基饱和度较好，保肥供肥能力较强。相比之下，水稻土（5.77 cmol(+)/kg）、棕红壤（7.36 cmol(+)/kg）和草甸风沙土（6.70 cmol(+)/kg）的数值明显偏低，反映出这些土壤可能存在盐基淋失较强或本身盐基储量不足的问题。从土壤发生学角度看，潮土类因受地下水影响，盐基富集程度普遍高于地带性棕红壤及人为水耕熟化形成的水稻土。需要重点关注的是面积占比较大的脱潮土（12803.0亩），其均值虽尚可，但需监测其盐基动态，以防退化；同时，面积虽小但盐基总量最低的水稻土和棕红壤，其养分保持能力可能不足，在农业利用中需注意补充钙、镁等盐基离子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不同土壤类型交换性盐基总量统计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7.360～7.360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7.360～7.360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9.138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7.210～14.100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9.138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7.210～14.100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6.594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6.860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3.120～10.600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6.594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3.120～10.600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14.715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15.250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7.750～20.100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14.715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7.750～20.100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3.120～20.100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3.120～20.100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5.770～5.770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5.770～5.770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5.760～13.200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5.760～13.200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6.650～7.750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6.650～7.750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9.858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9.825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6.380～13.600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9.858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6.380～13.600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8.945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8.840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5.390～16.600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8.945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5.390～16.600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5.390～16.600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5.390～16.600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5.340～11.700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5.340～11.700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5.500～6.000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5.500～6.000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6.030～7.040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6.030～7.040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6.968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6.780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5.340～11.700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7.151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5.340～11.700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8.827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3.120～20.100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8.827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3.120～20.100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9.52cmol(+)/kg），大庆路街道3个（均值12.60cmol(+)/kg），皇甫街道11个（均值6.16cmol(+)/kg），胡村乡25个（均值6.95cmol(+)/kg），开州街道13个（均值5.82cmol(+)/kg），昆吾街道4个（均值7.68cmol(+)/kg），孟轲乡7个（均值9.91cmol(+)/kg），濮东街道4个（均值10.21cmol(+)/kg），濮上街道1个（均值8.24cmol(+)/kg），胜利路街道3个（均值11.82cmol(+)/kg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南京市各乡镇土壤交换性盐基总量空间分异显著，整体呈现城区街道高于外围乡镇的分布特征。高值区集中分布于大庆路街道（12.60 cmol(+)/kg）和胜利路街道（11.82 cmol(+)/kg），表明其土壤保肥能力和盐基饱和度较高；低值区主要为开州街道（5.82 cmol(+)/kg）及皇甫街道（6.16 cmol(+)/kg）。这种差异可能与土地利用方式有关：高值街道受城市绿地精细化管护、有机肥施用等人为培肥措施影响较大；而低值乡镇多为农业区域，长期耕作导致盐基离子淋失，且可能受酸性肥料施用或土壤本底质地影响。建议对低值区实施测土配方，合理补充钙、镁等盐基离子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土壤交换性盐基总量分级分布统计（分乡镇）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66.854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26.432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6.714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9.518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12.600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21.509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78.491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6.160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2.346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97.654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22.571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77.429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7.685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44.219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55.781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9.909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72.891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27.109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10.211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8.240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11.817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2.344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72.677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24.979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9.310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2.306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59.329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6.080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3.075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9.714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62.678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31.587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9.356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4.470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68.826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24.317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2.164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8.827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00:49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