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江苏省南京市/阳离子交换量分析报告</w:t>
      </w:r>
    </w:p>
    <w:p>
      <w:pPr>
        <w:pStyle w:val="Heading1"/>
      </w:pPr>
      <w:r>
        <w:t>一、总体情况</w:t>
      </w:r>
    </w:p>
    <w:p>
      <w:r>
        <w:t>江苏省南京市/阳离子交换量样点统计分析：共采集有效样点199个，样点阳离子交换量平均值为10.23cmol(+)/kg，中位值为9.57cmol(+)/kg，数值范围为3.52~24.40cmol(+)/kg，按等级划分，样点分布为：5级6个（占3.0%），4级7个（占3.5%），3级78个（占39.2%），2级105个（占52.8%），1级3个（占1.5%）。</w:t>
      </w:r>
    </w:p>
    <w:p>
      <w:r>
        <w:t>江苏省南京市/阳离子交换量制图统计分析：制图总面积为19731.00亩，加权平均值为10.23cmol(+)/kg，中位值为9.57cmol(+)/kg，数值范围为3.52~24.40cmol(+)/kg，按等级划分，面积分布为：5级328.0亩（占1.7%），4级609.0亩（占3.1%），3级7312.0亩（占37.1%），2级11053.0亩（占56.0%），1级429.0亩（占2.2%）。</w:t>
      </w:r>
    </w:p>
    <w:p>
      <w:r>
        <w:t>南京市土壤阳离子交换量（CEC）样点与制图平均值均为10.23 cmol(+)/kg，数据高度一致，表明区域整体水平稳定。从等级分布看，以2级（56.0%）和3级（37.1%）为主，整体处于中等偏低水平。</w:t>
        <w:br/>
        <w:br/>
        <w:t>其成因可从自然与人为因素综合分析。自然方面，南京地处长江下游，成土母质以河流冲积物和下蜀黄土为主，黏土矿物以水云母为主，有机质含量受亚热带季风气候影响分解较快，这些因素共同限制了土壤保肥供肥能力。人为方面，长期集约化农业种植，有机肥投入相对不足而化肥依赖度高，可能导致土壤有机质提升缓慢，进而影响CEC。此外，部分区域可能存在土壤酸化现象，进一步降低了交换性盐基总量。</w:t>
        <w:br/>
        <w:br/>
        <w:t>样点与制图平均值无差异，说明现有采样点对区域表征充分，空间插值结果可靠，反映该属性在区域尺度上变异平缓。</w:t>
      </w:r>
    </w:p>
    <w:p>
      <w:pPr>
        <w:pStyle w:val="Heading2"/>
      </w:pPr>
      <w:r>
        <w:t>1.1 总体情况统计表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土壤阳离子交换量分级分布统计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土壤三普分级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分级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值域/(cmol(+)/kg)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占比/%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&gt;20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15～20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3.090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10～15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39.200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7312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37.060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5～10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52.760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11053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56.020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≤5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2.170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100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全区均值/(cmol(+)/kg)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全区中位值/(cmol(+)/kg)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全区范围/(cmol(+)/kg)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二、土地利用类型分析</w:t>
      </w:r>
    </w:p>
    <w:p>
      <w:r>
        <w:t>按土地利用类型，样点分布为：其他1个（均值8.87cmol(+)/kg），园地48个（均值5.76cmol(+)/kg），林地6个（均值7.33cmol(+)/kg），耕地144个（均值3.60cmol(+)/kg）。按土地利用类型，面积分布为：其他73.0亩（均值8.87cmol(+)/kg），园地7270.0亩（均值5.76cmol(+)/kg），林地580.0亩（均值7.33cmol(+)/kg），耕地11808.0亩（均值3.60cmol(+)/kg）。</w:t>
      </w:r>
    </w:p>
    <w:p>
      <w:r>
        <w:t>南京市土壤阳离子交换量（CEC）在不同土地利用类型间差异显著。其中，耕地CEC均值最低（3.60 cmol(+)/kg），远低于园地（5.76）、林地（7.33）及其他用地（8.87）。这种差异主要源于长期集约化耕作导致有机质消耗、土壤结构破坏及酸化加剧，从而降低了土壤胶体对养分离子的吸附保持能力。相比之下，林地和园地人为干扰较少，有机质积累较好，CEC较高。</w:t>
        <w:br/>
        <w:br/>
        <w:t>建议对耕地实施增施有机肥、推广秸秆还田、合理施用石灰等措施，以提升土壤有机质含量、改善土壤结构，从而逐步提高其保肥供肥能力。对于园地和林地，应维持现有管理措施，注重有机质的持续补充。</w:t>
      </w:r>
    </w:p>
    <w:p>
      <w:pPr>
        <w:pStyle w:val="Heading2"/>
      </w:pPr>
      <w:r>
        <w:t>2.1 土地利用类型统计表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不同土地利用类型阳离子交换量统计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一级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二级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中位数/(cmol(+)/kg)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范围/(cmol(+)/kg)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耕地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水田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水浇地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旱地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10.150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10.793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11808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3.960～24.400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果园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8.730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9.056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6184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茶园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其他园地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8.410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5.400～11.600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5.400～11.600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3.520～20.700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林地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7.093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5.250～9.800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7.328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5.250～9.800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草地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其他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8.870～8.870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8.870～8.870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3.520～24.400</w:t>
            </w:r>
          </w:p>
        </w:tc>
      </w:tr>
    </w:tbl>
    <w:p/>
    <w:p>
      <w:pPr>
        <w:pStyle w:val="Heading1"/>
      </w:pPr>
      <w:r>
        <w:t>三、土壤类型分析</w:t>
      </w:r>
    </w:p>
    <w:p>
      <w:r>
        <w:t>按土壤亚类，样点分布为：典型潮土55个（均值12.03cmol(+)/kg），棕红壤1个（均值9.36cmol(+)/kg），水稻土1个（均值7.70cmol(+)/kg），盐化潮土9个（均值10.38cmol(+)/kg），碱化潮土6个（均值7.93cmol(+)/kg），脱潮土114个（均值10.92cmol(+)/kg），草甸风沙土13个（均值7.12cmol(+)/kg）。按土壤亚类，面积分布为：典型潮土4304.0亩（均值12.03cmol(+)/kg），棕红壤10.0亩（均值9.36cmol(+)/kg），水稻土6.0亩（均值7.70cmol(+)/kg），盐化潮土222.0亩（均值10.38cmol(+)/kg），碱化潮土505.0亩（均值7.93cmol(+)/kg），脱潮土12803.0亩（均值10.92cmol(+)/kg），草甸风沙土1881.0亩（均值7.12cmol(+)/kg）。</w:t>
      </w:r>
    </w:p>
    <w:p>
      <w:r>
        <w:t>本次普查数据显示，南京市不同土壤亚类的阳离子交换量（CEC）存在显著差异。典型潮土CEC最高（12.03 cmol(+)/kg），表明其保肥供肥能力较强；而草甸风沙土CEC最低（7.12 cmol(+)/kg），棕红壤、水稻土及碱化潮土也处于较低水平（均低于10 cmol(+)/kg）。这反映出土壤质地、有机质含量及盐碱化过程对CEC有重要影响，通常黏粒和有机质含量高的土壤CEC较高。需要重点关注CEC较低的草甸风沙土、水稻土和碱化潮土，这些土壤可能存在养分保持能力弱、易发生养分流失及盐碱障碍等问题，需在施肥管理和土壤改良中予以针对性措施。</w:t>
      </w:r>
    </w:p>
    <w:p>
      <w:pPr>
        <w:pStyle w:val="Heading2"/>
      </w:pPr>
      <w:r>
        <w:t>3.1 土壤类型统计表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t>不同土壤类型阳离子交换量统计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土壤类型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样点统计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制图统计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亚类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土属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中位值/(cmol(+)/kg)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数量/个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均值/(cmol(+)/kg)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范围/(cmol(+)/kg)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棕红壤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9.360～9.360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9.360～9.360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典型潮土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石灰性潮壤土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7.250～14.000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7.250～14.000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3.520～11.600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3399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3.520～11.600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石灰性潮黏土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18.282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19.300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18.282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9.120～24.400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9.872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12.468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9.031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4304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水稻土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7.700～7.700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7.700～7.700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盐化潮土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硫酸盐潮土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6.450～13.400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10.378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6.450～13.400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碱化潮土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6.680～8.880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6.680～8.880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脱潮土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脱潮壤土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11.593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7.900～16.600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11.593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5091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7.900～16.600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脱潮砂土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9.900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7712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10.851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10.750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10.784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12803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5.400～20.700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草甸风沙土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草甸半固定风沙土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7.480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6.180～12.500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8.219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6.180～12.500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草甸固定风沙土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7.075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6.805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5.880～8.810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7.075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5.880～8.810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草甸流动风沙土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5.950～6.170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6.060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5.950～6.170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合计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7.535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6.782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5.880～12.500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7.691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5.880～12.500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  <w:tc>
          <w:tcPr>
            <w:tcW w:type="dxa" w:w="864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9.570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10.231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3.520～24.400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</w:p>
        </w:tc>
      </w:tr>
    </w:tbl>
    <w:p/>
    <w:p>
      <w:pPr>
        <w:pStyle w:val="Heading1"/>
      </w:pPr>
      <w:r>
        <w:t>四、乡镇分析</w:t>
      </w:r>
    </w:p>
    <w:p>
      <w:r>
        <w:t>按乡镇，样点分布为：昌湖街道15个（均值10.96cmol(+)/kg），大庆路街道3个（均值13.63cmol(+)/kg），皇甫街道11个（均值6.79cmol(+)/kg），胡村乡25个（均值8.35cmol(+)/kg），开州街道13个（均值5.79cmol(+)/kg），昆吾街道4个（均值8.99cmol(+)/kg），孟轲乡7个（均值10.53cmol(+)/kg），濮东街道4个（均值10.27cmol(+)/kg），濮上街道1个（均值8.73cmol(+)/kg），胜利路街道3个（均值12.52cmol(+)/kg）等。按乡镇，面积分布为：昌湖街道2130.0亩，大庆路街道376.0亩，皇甫街道1153.0亩，胡村乡2430.0亩，开州街道2038.0亩，昆吾街道467.0亩，孟轲乡1280.0亩，濮东街道723.0亩，濮上街道134.0亩，胜利路街道551.0亩等。</w:t>
      </w:r>
    </w:p>
    <w:p>
      <w:r>
        <w:t>南京市各乡镇土壤阳离子交换量（CEC）空间分异显著。高值区集中分布于大庆路街道（13.63 cmol(+)/kg）和胜利路街道（12.52 cmol(+)/kg），表明其土壤保肥供肥能力较强，可能与城镇区域土壤有机质含量较高或受人为管理措施影响有关。低值区主要位于开州街道（5.79 cmol(+)/kg）和皇甫街道（6.79 cmol(+)/kg），CEC处于较低水平，土壤保肥能力偏弱。这种差异可能源于成土母质、土壤质地（如砂质含量较高）及土地利用方式（如耕作强度、有机肥投入）的不同。总体来看，CEC均值较高的乡镇多位于城镇及周边，而农业乡镇普遍值偏低，需关注土壤地力培育。</w:t>
      </w:r>
    </w:p>
    <w:p>
      <w:pPr>
        <w:pStyle w:val="Heading2"/>
      </w:pPr>
      <w:r>
        <w:t>4.1 乡镇统计表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t>土壤阳离子交换量分级分布统计（分乡镇）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  <w:tc>
          <w:tcPr>
            <w:tcW w:type="dxa" w:w="960"/>
          </w:tcPr>
          <w:p>
            <w:pPr>
              <w:jc w:val="center"/>
            </w:pPr>
            <w:r/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乡镇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样点/个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面积/亩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Ⅰ级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Ⅱ级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Ⅲ级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Ⅳ级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Ⅴ级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均值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昌湖街道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13.521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33.005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53.474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10.959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大庆路街道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13.633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皇甫街道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89.679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10.321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6.785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胡村乡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8.683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91.317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8.350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开州街道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84.789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15.211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5.788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昆吾街道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25.268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74.732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8.990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孟轲乡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55.781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44.219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10.533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濮东街道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52.559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47.441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10.265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濮上街道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8.730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胜利路街道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12.517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王助镇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3583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6.447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70.667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22.886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11.587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新习镇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9.154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6.289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44.864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39.693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11.570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岳村镇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3435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5.735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31.587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62.678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9.826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t>全区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19731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1.662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3.087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37.058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56.018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2.174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t>10.231</w:t>
            </w:r>
          </w:p>
        </w:tc>
      </w:tr>
    </w:tbl>
    <w:p/>
    <w:p/>
    <w:p>
      <w:pPr>
        <w:jc w:val="right"/>
      </w:pPr>
      <w:r>
        <w:rPr>
          <w:i/>
          <w:sz w:val="18"/>
        </w:rPr>
        <w:t>生成时间: 2025-12-08 00:49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