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江苏省南京市/阳离子交换量分析报告</w:t>
      </w:r>
    </w:p>
    <w:p>
      <w:pPr>
        <w:pStyle w:val="Heading1"/>
      </w:pPr>
      <w:r>
        <w:t>一、总体情况</w:t>
      </w:r>
    </w:p>
    <w:p>
      <w:r>
        <w:t>江苏省南京市/阳离子交换量样点统计分析：共采集有效样点199个，样点阳离子交换量平均值为10.23cmol(+)/kg，中位值为9.57cmol(+)/kg，数值范围为3.52~24.40cmol(+)/kg，按等级划分，样点分布为：5级6个（占3.0%），4级7个（占3.5%），3级78个（占39.2%），2级105个（占52.8%），1级3个（占1.5%）。</w:t>
      </w:r>
    </w:p>
    <w:p>
      <w:r>
        <w:t>江苏省南京市/阳离子交换量制图统计分析：制图总面积为19731.00亩，加权平均值为10.23cmol(+)/kg，中位值为9.57cmol(+)/kg，数值范围为3.52~24.40cmol(+)/kg，按等级划分，面积分布为：5级328.0亩（占1.7%），4级609.0亩（占3.1%），3级7312.0亩（占37.1%），2级11053.0亩（占56.0%），1级429.0亩（占2.2%）。</w:t>
      </w:r>
    </w:p>
    <w:p>
      <w:r>
        <w:t>南京市土壤阳离子交换量平均为10.23 cmol(+)/kg，整体处于中低水平，以2级和3级为主（合计占93.1%），表明土壤保肥能力偏弱。自然因素方面，该区属亚热带季风气候，淋溶作用较强，导致盐基离子流失，黏粒含量相对较低，制约了阳离子交换量的提升；地形以平原和丘陵为主，母质多为下蜀黄土和冲积物，矿物组成以2:1型黏土矿物较少，影响固相表面负电荷数量。人为因素上，长期耕作、复种指数高，有机质补充不足，加之偏施化肥、忽视有机肥，导致土壤腐殖质减少，进一步降低交换量。样点与制图平均值一致，说明采样代表性较好，空间插值结果可靠，数据反映区域整体趋势准确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土壤阳离子交换量分级分布统计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15～20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3.090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10～15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37.060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5～10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52.760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11053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56.020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2.170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8.87cmol(+)/kg），园地48个（均值5.76cmol(+)/kg），林地6个（均值7.33cmol(+)/kg），耕地144个（均值3.60cmol(+)/kg）。按土地利用类型，面积分布为：其他73.0亩（均值8.87cmol(+)/kg），园地7270.0亩（均值5.76cmol(+)/kg），林地580.0亩（均值7.33cmol(+)/kg），耕地11808.0亩（均值3.60cmol(+)/kg）。</w:t>
      </w:r>
    </w:p>
    <w:p>
      <w:r>
        <w:t>南京市不同土地利用类型土壤阳离子交换量（CEC）差异显著，其中“其他”用地CEC最高（8.87 cmol(+)/kg），耕地最低（3.60 cmol(+)/kg）。园地和林地居中，反映植被覆盖与有机质积累对CEC的正向影响。耕地因长期耕作、有机质损耗及施肥管理不当导致CEC偏低。建议在耕地推广有机肥还田与保护性耕作，提升土壤保肥能力；园地和林地应加强植被多样性以维持土壤质量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不同土地利用类型阳离子交换量统计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8.730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5.400～11.600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5.400～11.600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8.934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8.934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7.093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5.250～9.800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5.250～9.800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8.870～8.870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8.870～8.870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3.520～24.400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12.03cmol(+)/kg），棕红壤1个（均值9.36cmol(+)/kg），水稻土1个（均值7.70cmol(+)/kg），盐化潮土9个（均值10.38cmol(+)/kg），碱化潮土6个（均值7.93cmol(+)/kg），脱潮土114个（均值10.92cmol(+)/kg），草甸风沙土13个（均值7.12cmol(+)/kg）。按土壤亚类，面积分布为：典型潮土4304.0亩（均值12.03cmol(+)/kg），棕红壤10.0亩（均值9.36cmol(+)/kg），水稻土6.0亩（均值7.70cmol(+)/kg），盐化潮土222.0亩（均值10.38cmol(+)/kg），碱化潮土505.0亩（均值7.93cmol(+)/kg），脱潮土12803.0亩（均值10.92cmol(+)/kg），草甸风沙土1881.0亩（均值7.12cmol(+)/kg）。</w:t>
      </w:r>
    </w:p>
    <w:p>
      <w:r>
        <w:t>南京市不同土壤类型阳离子交换量（CEC）差异显著，典型潮土CEC最高（12.03 cmol(+)/kg），草甸风沙土最低（7.12 cmol(+)/kg）。总体表现为潮土类（如典型潮土、脱潮土）CEC较高，而水稻土、碱化潮土及草甸风沙土较低，反映其黏粒含量与有机质水平相对偏低。盐化与碱化潮土因盐碱障碍导致CEC下降，尤以碱化潮土需重点关注。草甸风沙土虽面积较大且CEC最低，肥力保持能力弱，亦应加强改良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不同土壤类型阳离子交换量统计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9.360～9.360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9.360～9.360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10.325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7.250～14.000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7.250～14.000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3.520～11.600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3.520～11.600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18.282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9.120～24.400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18.282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9.120～24.400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9.872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12.468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7.700～7.700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7.700～7.700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10.378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6.450～13.400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10.378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6.450～13.400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6.680～8.880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6.680～8.880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11.593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7.900～16.600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11.593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7.900～16.600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10.851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10.750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10.784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6.180～12.500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6.180～12.500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7.075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6.805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5.880～8.810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7.075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5.880～8.810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5.950～6.170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5.950～6.170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6.782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5.880～12.500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5.880～12.500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10.96cmol(+)/kg），大庆路街道3个（均值13.63cmol(+)/kg），皇甫街道11个（均值6.79cmol(+)/kg），胡村乡25个（均值8.35cmol(+)/kg），开州街道13个（均值5.79cmol(+)/kg），昆吾街道4个（均值8.99cmol(+)/kg），孟轲乡7个（均值10.53cmol(+)/kg），濮东街道4个（均值10.27cmol(+)/kg），濮上街道1个（均值8.73cmol(+)/kg），胜利路街道3个（均值12.52cmol(+)/kg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江苏省南京市各乡镇土壤阳离子交换量（CEC）空间差异显著，高值区主要分布在大庆路街道（13.63 cmol(+)/kg）和胜利路街道（12.52 cmol(+)/kg），集中于城市北部或近郊；低值区以开州街道（5.79 cmol(+)/kg）和皇甫街道（6.79 cmol(+)/kg）为代表，多位于南部或农业主导区域。高CEC可能与近郊有机质输入较多、土壤黏粒含量较高有关，而低值区多为砂壤土，耕作强度大，植被覆盖少，导致养分保持能力弱。种植结构上，蔬菜及经济作物区CEC普遍高于大田粮食区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土壤阳离子交换量分级分布统计（分乡镇）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13.521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33.005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53.474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10.959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13.633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89.679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10.321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6.785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91.317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8.350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84.789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15.211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5.788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25.268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74.732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8.990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55.781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44.219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10.533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52.559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47.441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10.265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8.730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6.447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70.667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22.886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11.587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9.154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6.289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44.864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39.693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11.570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31.587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62.678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9.826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1.662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3.087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37.058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56.018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10.231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01:04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