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江苏省南京市/pH分析报告</w:t>
      </w:r>
    </w:p>
    <w:p>
      <w:pPr>
        <w:pStyle w:val="Heading1"/>
      </w:pPr>
      <w:r>
        <w:t>一、总体情况</w:t>
      </w:r>
    </w:p>
    <w:p>
      <w:r>
        <w:t>江苏省南京市/pH样点统计分析：共采集有效样点197个，样点pH平均值为8.53，中位值为8.55，数值范围为2.00~9.21。</w:t>
      </w:r>
    </w:p>
    <w:p>
      <w:r>
        <w:t>江苏省南京市/pH制图统计分析：制图总面积为19724.00亩，加权平均值为8.53，中位值为8.55，数值范围为2.00~9.21。</w:t>
      </w:r>
    </w:p>
    <w:p>
      <w:r>
        <w:t>南京市土壤pH平均值高达8.53，呈强碱性，其成因可从自然与人为两方面分析。自然因素上，南京地处长江下游，成土母质多为下蜀黄土及河湖相沉积物，本身富含碳酸钙等盐基物质；加之该区域属北亚热带季风气候，降水相对丰沛但季节性明显，淋溶作用不足以完全中和土壤碱性，导致盐基离子积累。人为因素方面，长期集约化农业生产中，为追求高产而普遍施用石灰改良酸性土壤的传统，以及大量使用碱性化肥（如钙镁磷肥）和灌溉偏碱性地下水，进一步加剧了土壤碱化进程。样点平均值与制图平均值完全一致（均为8.53），表明数据空间代表性强，区域土壤碱化问题普遍且均质，并非个别样点偏差所致，这提示土壤管理需系统性关注碱性调控，以保障农业可持续发展和生态安全。</w:t>
      </w:r>
    </w:p>
    <w:p/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强酸性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弱酸性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弱碱性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6级</w:t>
            </w:r>
          </w:p>
        </w:tc>
        <w:tc>
          <w:tcPr>
            <w:tcW w:type="dxa" w:w="1440"/>
          </w:tcPr>
          <w:p>
            <w:r>
              <w:t>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7级</w:t>
            </w:r>
          </w:p>
        </w:tc>
        <w:tc>
          <w:tcPr>
            <w:tcW w:type="dxa" w:w="1440"/>
          </w:tcPr>
          <w:p>
            <w:r>
              <w:t>强碱性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>
      <w:r>
        <w:t>合计：样点197个，面积0.0亩；均值：样点8.53，制图8.53</w:t>
      </w:r>
    </w:p>
    <w:p>
      <w:pPr>
        <w:pStyle w:val="Heading1"/>
      </w:pPr>
      <w:r>
        <w:t>二、土地利用类型分析</w:t>
      </w:r>
    </w:p>
    <w:p>
      <w:r>
        <w:t>数据中未包含土地利用类型信息，无法进行分类分析。</w:t>
      </w:r>
    </w:p>
    <w:p>
      <w:pPr>
        <w:pStyle w:val="Heading1"/>
      </w:pPr>
      <w:r>
        <w:t>三、土壤类型分析</w:t>
      </w:r>
    </w:p>
    <w:p>
      <w:r>
        <w:t>按土壤亚类，样点分布为：典型潮土53个（均值8.56），棕红壤1个（均值8.51），水稻土1个（均值8.70），盐化潮土9个（均值8.67），碱化潮土6个（均值8.50），脱潮土114个（均值8.46），草甸风沙土13个（均值8.59）。按土壤亚类，面积分布为：典型潮土4297.0亩（均值8.56），棕红壤10.0亩（均值8.51），水稻土6.0亩（均值8.70），盐化潮土222.0亩（均值8.67），碱化潮土505.0亩（均值8.50），脱潮土12803.0亩（均值8.46），草甸风沙土1881.0亩（均值8.59）。</w:t>
      </w:r>
    </w:p>
    <w:p>
      <w:r>
        <w:t>南京市调查区土壤整体呈强碱性，pH均值在8.46-8.70之间。各土壤亚类间pH差异较小，其中水稻土pH最高（8.70），脱潮土最低（8.46）。数据表明，该区域土壤碱性特征与土壤类型关联性不强，更可能受区域成土母质及地下水等共同环境背景控制。需要重点关注的是面积最大的脱潮土（12803.0亩）和典型潮土（4297.0亩），其大面积的强碱性可能对作物选择与养分有效性产生普遍影响。此外，面积较小的盐化潮土与碱化潮土本身即指示盐碱障碍，需注意其改良。</w:t>
      </w:r>
    </w:p>
    <w:p/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亚类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土属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面积均值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石灰性潮壤土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8.49</w:t>
            </w:r>
          </w:p>
        </w:tc>
        <w:tc>
          <w:tcPr>
            <w:tcW w:type="dxa" w:w="1440"/>
          </w:tcPr>
          <w:p>
            <w:r>
              <w:t>462.0</w:t>
            </w:r>
          </w:p>
        </w:tc>
        <w:tc>
          <w:tcPr>
            <w:tcW w:type="dxa" w:w="1440"/>
          </w:tcPr>
          <w:p>
            <w:r>
              <w:t>8.49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石灰性潮砂土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  <w:tc>
          <w:tcPr>
            <w:tcW w:type="dxa" w:w="1440"/>
          </w:tcPr>
          <w:p>
            <w:r>
              <w:t>3392.0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</w:tr>
      <w:tr>
        <w:tc>
          <w:tcPr>
            <w:tcW w:type="dxa" w:w="1440"/>
          </w:tcPr>
          <w:p>
            <w:r>
              <w:t>典型潮土</w:t>
            </w:r>
          </w:p>
        </w:tc>
        <w:tc>
          <w:tcPr>
            <w:tcW w:type="dxa" w:w="1440"/>
          </w:tcPr>
          <w:p>
            <w:r>
              <w:t>石灰性潮黏土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443.0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</w:tr>
      <w:tr>
        <w:tc>
          <w:tcPr>
            <w:tcW w:type="dxa" w:w="1440"/>
          </w:tcPr>
          <w:p>
            <w:r>
              <w:t>棕红壤</w:t>
            </w:r>
          </w:p>
        </w:tc>
        <w:tc>
          <w:tcPr>
            <w:tcW w:type="dxa" w:w="1440"/>
          </w:tcPr>
          <w:p>
            <w:r>
              <w:t>石灰性潮砂土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8.51</w:t>
            </w:r>
          </w:p>
        </w:tc>
      </w:tr>
      <w:tr>
        <w:tc>
          <w:tcPr>
            <w:tcW w:type="dxa" w:w="1440"/>
          </w:tcPr>
          <w:p>
            <w:r>
              <w:t>水稻土</w:t>
            </w:r>
          </w:p>
        </w:tc>
        <w:tc>
          <w:tcPr>
            <w:tcW w:type="dxa" w:w="1440"/>
          </w:tcPr>
          <w:p>
            <w:r>
              <w:t>脱潮壤土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8.70</w:t>
            </w:r>
          </w:p>
        </w:tc>
      </w:tr>
      <w:tr>
        <w:tc>
          <w:tcPr>
            <w:tcW w:type="dxa" w:w="1440"/>
          </w:tcPr>
          <w:p>
            <w:r>
              <w:t>盐化潮土</w:t>
            </w:r>
          </w:p>
        </w:tc>
        <w:tc>
          <w:tcPr>
            <w:tcW w:type="dxa" w:w="1440"/>
          </w:tcPr>
          <w:p>
            <w:r>
              <w:t>硫酸盐潮土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8.67</w:t>
            </w:r>
          </w:p>
        </w:tc>
        <w:tc>
          <w:tcPr>
            <w:tcW w:type="dxa" w:w="1440"/>
          </w:tcPr>
          <w:p>
            <w:r>
              <w:t>222.0</w:t>
            </w:r>
          </w:p>
        </w:tc>
        <w:tc>
          <w:tcPr>
            <w:tcW w:type="dxa" w:w="1440"/>
          </w:tcPr>
          <w:p>
            <w:r>
              <w:t>8.67</w:t>
            </w:r>
          </w:p>
        </w:tc>
      </w:tr>
      <w:tr>
        <w:tc>
          <w:tcPr>
            <w:tcW w:type="dxa" w:w="1440"/>
          </w:tcPr>
          <w:p>
            <w:r>
              <w:t>碱化潮土</w:t>
            </w:r>
          </w:p>
        </w:tc>
        <w:tc>
          <w:tcPr>
            <w:tcW w:type="dxa" w:w="1440"/>
          </w:tcPr>
          <w:p>
            <w:r>
              <w:t>碱潮壤土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505.0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</w:tr>
      <w:tr>
        <w:tc>
          <w:tcPr>
            <w:tcW w:type="dxa" w:w="1440"/>
          </w:tcPr>
          <w:p>
            <w:r>
              <w:t>脱潮土</w:t>
            </w:r>
          </w:p>
        </w:tc>
        <w:tc>
          <w:tcPr>
            <w:tcW w:type="dxa" w:w="1440"/>
          </w:tcPr>
          <w:p>
            <w:r>
              <w:t>脱潮壤土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5091.0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</w:tr>
      <w:tr>
        <w:tc>
          <w:tcPr>
            <w:tcW w:type="dxa" w:w="1440"/>
          </w:tcPr>
          <w:p>
            <w:r>
              <w:t>脱潮土</w:t>
            </w:r>
          </w:p>
        </w:tc>
        <w:tc>
          <w:tcPr>
            <w:tcW w:type="dxa" w:w="1440"/>
          </w:tcPr>
          <w:p>
            <w:r>
              <w:t>脱潮砂土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8.55</w:t>
            </w:r>
          </w:p>
        </w:tc>
        <w:tc>
          <w:tcPr>
            <w:tcW w:type="dxa" w:w="1440"/>
          </w:tcPr>
          <w:p>
            <w:r>
              <w:t>7712.0</w:t>
            </w:r>
          </w:p>
        </w:tc>
        <w:tc>
          <w:tcPr>
            <w:tcW w:type="dxa" w:w="1440"/>
          </w:tcPr>
          <w:p>
            <w:r>
              <w:t>8.55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草甸半固定风沙土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1214.0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草甸固定风沙土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8.74</w:t>
            </w:r>
          </w:p>
        </w:tc>
        <w:tc>
          <w:tcPr>
            <w:tcW w:type="dxa" w:w="1440"/>
          </w:tcPr>
          <w:p>
            <w:r>
              <w:t>441.0</w:t>
            </w:r>
          </w:p>
        </w:tc>
        <w:tc>
          <w:tcPr>
            <w:tcW w:type="dxa" w:w="1440"/>
          </w:tcPr>
          <w:p>
            <w:r>
              <w:t>8.74</w:t>
            </w:r>
          </w:p>
        </w:tc>
      </w:tr>
      <w:tr>
        <w:tc>
          <w:tcPr>
            <w:tcW w:type="dxa" w:w="1440"/>
          </w:tcPr>
          <w:p>
            <w:r>
              <w:t>草甸风沙土</w:t>
            </w:r>
          </w:p>
        </w:tc>
        <w:tc>
          <w:tcPr>
            <w:tcW w:type="dxa" w:w="1440"/>
          </w:tcPr>
          <w:p>
            <w:r>
              <w:t>草甸流动风沙土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8.62</w:t>
            </w:r>
          </w:p>
        </w:tc>
        <w:tc>
          <w:tcPr>
            <w:tcW w:type="dxa" w:w="1440"/>
          </w:tcPr>
          <w:p>
            <w:r>
              <w:t>226.0</w:t>
            </w:r>
          </w:p>
        </w:tc>
        <w:tc>
          <w:tcPr>
            <w:tcW w:type="dxa" w:w="1440"/>
          </w:tcPr>
          <w:p>
            <w:r>
              <w:t>8.62</w:t>
            </w:r>
          </w:p>
        </w:tc>
      </w:tr>
    </w:tbl>
    <w:p>
      <w:pPr>
        <w:pStyle w:val="Heading1"/>
      </w:pPr>
      <w:r>
        <w:t>四、乡镇分析</w:t>
      </w:r>
    </w:p>
    <w:p>
      <w:r>
        <w:t>按乡镇，样点分布为：昌湖街道15个（均值8.33），大庆路街道3个（均值8.40），皇甫街道11个（均值8.71），胡村乡25个（均值8.77），开州街道13个（均值8.53），昆吾街道4个（均值8.59），孟轲乡7个（均值8.41），濮东街道4个（均值8.44），濮上街道1个（均值7.49），胜利路街道3个（均值8.45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根据南京市各乡镇土壤pH数据，整体呈现偏碱性特征，空间分布存在一定差异。pH最高值出现在胡村乡（8.77），最低值在濮上街道（7.49），其余乡镇均值集中在8.33-8.71之间，表明区域土壤碱性较强且相对均一，仅濮上街道明显偏低。高值区主要分布于胡村乡、皇甫街道等乡镇，低值区仅濮上街道一个样点（样本量较少，代表性需谨慎评估）。这种分布可能与地形、地下水矿化度及耕作管理差异有关，例如低值区域可能受局部酸性物质输入或特殊土地利用方式影响。建议对濮上街道增加采样点以核实其土壤酸碱状况。</w:t>
      </w:r>
    </w:p>
    <w:p/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乡镇</w:t>
            </w:r>
          </w:p>
        </w:tc>
        <w:tc>
          <w:tcPr>
            <w:tcW w:type="dxa" w:w="785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785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785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785"/>
          </w:tcPr>
          <w:p>
            <w:r>
              <w:rPr>
                <w:b/>
              </w:rPr>
              <w:t>1级占比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2级占比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3级占比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4级占比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5级占比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6级占比</w:t>
            </w:r>
          </w:p>
        </w:tc>
        <w:tc>
          <w:tcPr>
            <w:tcW w:type="dxa" w:w="785"/>
          </w:tcPr>
          <w:p>
            <w:r>
              <w:rPr>
                <w:b/>
              </w:rPr>
              <w:t>7级占比</w:t>
            </w:r>
          </w:p>
        </w:tc>
      </w:tr>
      <w:tr>
        <w:tc>
          <w:tcPr>
            <w:tcW w:type="dxa" w:w="785"/>
          </w:tcPr>
          <w:p>
            <w:r>
              <w:t>昌湖街道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2130.0</w:t>
            </w:r>
          </w:p>
        </w:tc>
        <w:tc>
          <w:tcPr>
            <w:tcW w:type="dxa" w:w="785"/>
          </w:tcPr>
          <w:p>
            <w:r>
              <w:t>8.33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大庆路街道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376.0</w:t>
            </w:r>
          </w:p>
        </w:tc>
        <w:tc>
          <w:tcPr>
            <w:tcW w:type="dxa" w:w="785"/>
          </w:tcPr>
          <w:p>
            <w:r>
              <w:t>8.40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皇甫街道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1153.0</w:t>
            </w:r>
          </w:p>
        </w:tc>
        <w:tc>
          <w:tcPr>
            <w:tcW w:type="dxa" w:w="785"/>
          </w:tcPr>
          <w:p>
            <w:r>
              <w:t>8.71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胡村乡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2430.0</w:t>
            </w:r>
          </w:p>
        </w:tc>
        <w:tc>
          <w:tcPr>
            <w:tcW w:type="dxa" w:w="785"/>
          </w:tcPr>
          <w:p>
            <w:r>
              <w:t>8.77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开州街道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2038.0</w:t>
            </w:r>
          </w:p>
        </w:tc>
        <w:tc>
          <w:tcPr>
            <w:tcW w:type="dxa" w:w="785"/>
          </w:tcPr>
          <w:p>
            <w:r>
              <w:t>8.53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昆吾街道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467.0</w:t>
            </w:r>
          </w:p>
        </w:tc>
        <w:tc>
          <w:tcPr>
            <w:tcW w:type="dxa" w:w="785"/>
          </w:tcPr>
          <w:p>
            <w:r>
              <w:t>8.59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孟轲乡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1280.0</w:t>
            </w:r>
          </w:p>
        </w:tc>
        <w:tc>
          <w:tcPr>
            <w:tcW w:type="dxa" w:w="785"/>
          </w:tcPr>
          <w:p>
            <w:r>
              <w:t>8.41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濮东街道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723.0</w:t>
            </w:r>
          </w:p>
        </w:tc>
        <w:tc>
          <w:tcPr>
            <w:tcW w:type="dxa" w:w="785"/>
          </w:tcPr>
          <w:p>
            <w:r>
              <w:t>8.44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濮上街道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7.49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胜利路街道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551.0</w:t>
            </w:r>
          </w:p>
        </w:tc>
        <w:tc>
          <w:tcPr>
            <w:tcW w:type="dxa" w:w="785"/>
          </w:tcPr>
          <w:p>
            <w:r>
              <w:t>8.45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王助镇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3583.0</w:t>
            </w:r>
          </w:p>
        </w:tc>
        <w:tc>
          <w:tcPr>
            <w:tcW w:type="dxa" w:w="785"/>
          </w:tcPr>
          <w:p>
            <w:r>
              <w:t>8.62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新习镇</w:t>
            </w:r>
          </w:p>
        </w:tc>
        <w:tc>
          <w:tcPr>
            <w:tcW w:type="dxa" w:w="785"/>
          </w:tcPr>
          <w:p>
            <w:r>
              <w:t>51</w:t>
            </w:r>
          </w:p>
        </w:tc>
        <w:tc>
          <w:tcPr>
            <w:tcW w:type="dxa" w:w="785"/>
          </w:tcPr>
          <w:p>
            <w:r>
              <w:t>1424.0</w:t>
            </w:r>
          </w:p>
        </w:tc>
        <w:tc>
          <w:tcPr>
            <w:tcW w:type="dxa" w:w="785"/>
          </w:tcPr>
          <w:p>
            <w:r>
              <w:t>8.46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  <w:tr>
        <w:tc>
          <w:tcPr>
            <w:tcW w:type="dxa" w:w="785"/>
          </w:tcPr>
          <w:p>
            <w:r>
              <w:t>岳村镇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3435.0</w:t>
            </w:r>
          </w:p>
        </w:tc>
        <w:tc>
          <w:tcPr>
            <w:tcW w:type="dxa" w:w="785"/>
          </w:tcPr>
          <w:p>
            <w:r>
              <w:t>8.39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  <w:tc>
          <w:tcPr>
            <w:tcW w:type="dxa" w:w="785"/>
          </w:tcPr>
          <w:p>
            <w:r>
              <w:t>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6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/>
    <w:p>
      <w:pPr>
        <w:jc w:val="right"/>
      </w:pPr>
      <w:r>
        <w:rPr>
          <w:i/>
          <w:sz w:val="18"/>
        </w:rPr>
        <w:t>生成时间: 2025-12-07 22:02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