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a交换性盐基总量分析报告</w:t>
      </w:r>
    </w:p>
    <w:p>
      <w:pPr>
        <w:pStyle w:val="Heading1"/>
      </w:pPr>
      <w:r>
        <w:t>一、基本信息</w:t>
      </w:r>
    </w:p>
    <w:tbl>
      <w:tblPr>
        <w:tblStyle w:val="TableGrid"/>
        <w:tblW w:type="auto" w:w="0"/>
        <w:tblLook w:firstColumn="1" w:firstRow="1" w:lastColumn="0" w:lastRow="0" w:noHBand="0" w:noVBand="1" w:val="04A0"/>
      </w:tblPr>
      <w:tblGrid>
        <w:gridCol w:w="4320"/>
        <w:gridCol w:w="4320"/>
      </w:tblGrid>
      <w:tr>
        <w:tc>
          <w:tcPr>
            <w:tcW w:type="dxa" w:w="4320"/>
          </w:tcPr>
          <w:p>
            <w:r>
              <w:rPr>
                <w:b/>
              </w:rPr>
              <w:t>地区</w:t>
            </w:r>
          </w:p>
        </w:tc>
        <w:tc>
          <w:tcPr>
            <w:tcW w:type="dxa" w:w="4320"/>
          </w:tcPr>
          <w:p>
            <w:r>
              <w:t>a</w:t>
            </w:r>
          </w:p>
        </w:tc>
      </w:tr>
      <w:tr>
        <w:tc>
          <w:tcPr>
            <w:tcW w:type="dxa" w:w="4320"/>
          </w:tcPr>
          <w:p>
            <w:r>
              <w:rPr>
                <w:b/>
              </w:rPr>
              <w:t>调查年份</w:t>
            </w:r>
          </w:p>
        </w:tc>
        <w:tc>
          <w:tcPr>
            <w:tcW w:type="dxa" w:w="4320"/>
          </w:tcPr>
          <w:p>
            <w:r>
              <w:t>2024</w:t>
            </w:r>
          </w:p>
        </w:tc>
      </w:tr>
      <w:tr>
        <w:tc>
          <w:tcPr>
            <w:tcW w:type="dxa" w:w="4320"/>
          </w:tcPr>
          <w:p>
            <w:r>
              <w:rPr>
                <w:b/>
              </w:rPr>
              <w:t>属性名称</w:t>
            </w:r>
          </w:p>
        </w:tc>
        <w:tc>
          <w:tcPr>
            <w:tcW w:type="dxa" w:w="4320"/>
          </w:tcPr>
          <w:p>
            <w:r>
              <w:t>交换性盐基总量</w:t>
            </w:r>
          </w:p>
        </w:tc>
      </w:tr>
      <w:tr>
        <w:tc>
          <w:tcPr>
            <w:tcW w:type="dxa" w:w="4320"/>
          </w:tcPr>
          <w:p>
            <w:r>
              <w:rPr>
                <w:b/>
              </w:rPr>
              <w:t>单位</w:t>
            </w:r>
          </w:p>
        </w:tc>
        <w:tc>
          <w:tcPr>
            <w:tcW w:type="dxa" w:w="4320"/>
          </w:tcPr>
          <w:p>
            <w:r>
              <w:t>cmol(+)/kg</w:t>
            </w:r>
          </w:p>
        </w:tc>
      </w:tr>
    </w:tbl>
    <w:p/>
    <w:p>
      <w:pPr>
        <w:pStyle w:val="Heading1"/>
      </w:pPr>
      <w:r>
        <w:t>二、统计概要</w:t>
      </w:r>
    </w:p>
    <w:p>
      <w:pPr>
        <w:pStyle w:val="Heading2"/>
      </w:pPr>
      <w:r>
        <w:t>2.1 样点数据统计</w:t>
      </w:r>
    </w:p>
    <w:tbl>
      <w:tblPr>
        <w:tblStyle w:val="TableGrid"/>
        <w:tblW w:type="auto" w:w="0"/>
        <w:tblLook w:firstColumn="1" w:firstRow="1" w:lastColumn="0" w:lastRow="0" w:noHBand="0" w:noVBand="1" w:val="04A0"/>
      </w:tblPr>
      <w:tblGrid>
        <w:gridCol w:w="4320"/>
        <w:gridCol w:w="4320"/>
      </w:tblGrid>
      <w:tr>
        <w:tc>
          <w:tcPr>
            <w:tcW w:type="dxa" w:w="4320"/>
          </w:tcPr>
          <w:p>
            <w:r>
              <w:t>样点总数</w:t>
            </w:r>
          </w:p>
        </w:tc>
        <w:tc>
          <w:tcPr>
            <w:tcW w:type="dxa" w:w="4320"/>
          </w:tcPr>
          <w:p>
            <w:r>
              <w:t>199</w:t>
            </w:r>
          </w:p>
        </w:tc>
      </w:tr>
      <w:tr>
        <w:tc>
          <w:tcPr>
            <w:tcW w:type="dxa" w:w="4320"/>
          </w:tcPr>
          <w:p>
            <w:r>
              <w:t>平均值</w:t>
            </w:r>
          </w:p>
        </w:tc>
        <w:tc>
          <w:tcPr>
            <w:tcW w:type="dxa" w:w="4320"/>
          </w:tcPr>
          <w:p>
            <w:r>
              <w:t>8.83 cmol(+)/kg</w:t>
            </w:r>
          </w:p>
        </w:tc>
      </w:tr>
      <w:tr>
        <w:tc>
          <w:tcPr>
            <w:tcW w:type="dxa" w:w="4320"/>
          </w:tcPr>
          <w:p>
            <w:r>
              <w:t>中位值</w:t>
            </w:r>
          </w:p>
        </w:tc>
        <w:tc>
          <w:tcPr>
            <w:tcW w:type="dxa" w:w="4320"/>
          </w:tcPr>
          <w:p>
            <w:r>
              <w:t>8.43 cmol(+)/kg</w:t>
            </w:r>
          </w:p>
        </w:tc>
      </w:tr>
      <w:tr>
        <w:tc>
          <w:tcPr>
            <w:tcW w:type="dxa" w:w="4320"/>
          </w:tcPr>
          <w:p>
            <w:r>
              <w:t>最小值</w:t>
            </w:r>
          </w:p>
        </w:tc>
        <w:tc>
          <w:tcPr>
            <w:tcW w:type="dxa" w:w="4320"/>
          </w:tcPr>
          <w:p>
            <w:r>
              <w:t>3.12 cmol(+)/kg</w:t>
            </w:r>
          </w:p>
        </w:tc>
      </w:tr>
      <w:tr>
        <w:tc>
          <w:tcPr>
            <w:tcW w:type="dxa" w:w="4320"/>
          </w:tcPr>
          <w:p>
            <w:r>
              <w:t>最大值</w:t>
            </w:r>
          </w:p>
        </w:tc>
        <w:tc>
          <w:tcPr>
            <w:tcW w:type="dxa" w:w="4320"/>
          </w:tcPr>
          <w:p>
            <w:r>
              <w:t>20.10 cmol(+)/kg</w:t>
            </w:r>
          </w:p>
        </w:tc>
      </w:tr>
    </w:tbl>
    <w:p/>
    <w:p>
      <w:pPr>
        <w:pStyle w:val="Heading2"/>
      </w:pPr>
      <w:r>
        <w:t>2.2 制图数据统计</w:t>
      </w:r>
    </w:p>
    <w:tbl>
      <w:tblPr>
        <w:tblStyle w:val="TableGrid"/>
        <w:tblW w:type="auto" w:w="0"/>
        <w:tblLook w:firstColumn="1" w:firstRow="1" w:lastColumn="0" w:lastRow="0" w:noHBand="0" w:noVBand="1" w:val="04A0"/>
      </w:tblPr>
      <w:tblGrid>
        <w:gridCol w:w="4320"/>
        <w:gridCol w:w="4320"/>
      </w:tblGrid>
      <w:tr>
        <w:tc>
          <w:tcPr>
            <w:tcW w:type="dxa" w:w="4320"/>
          </w:tcPr>
          <w:p>
            <w:r>
              <w:t>总面积</w:t>
            </w:r>
          </w:p>
        </w:tc>
        <w:tc>
          <w:tcPr>
            <w:tcW w:type="dxa" w:w="4320"/>
          </w:tcPr>
          <w:p>
            <w:r>
              <w:t>19731.00 亩</w:t>
            </w:r>
          </w:p>
        </w:tc>
      </w:tr>
      <w:tr>
        <w:tc>
          <w:tcPr>
            <w:tcW w:type="dxa" w:w="4320"/>
          </w:tcPr>
          <w:p>
            <w:r>
              <w:t>平均值</w:t>
            </w:r>
          </w:p>
        </w:tc>
        <w:tc>
          <w:tcPr>
            <w:tcW w:type="dxa" w:w="4320"/>
          </w:tcPr>
          <w:p>
            <w:r>
              <w:t>8.83 cmol(+)/kg</w:t>
            </w:r>
          </w:p>
        </w:tc>
      </w:tr>
      <w:tr>
        <w:tc>
          <w:tcPr>
            <w:tcW w:type="dxa" w:w="4320"/>
          </w:tcPr>
          <w:p>
            <w:r>
              <w:t>中位值</w:t>
            </w:r>
          </w:p>
        </w:tc>
        <w:tc>
          <w:tcPr>
            <w:tcW w:type="dxa" w:w="4320"/>
          </w:tcPr>
          <w:p>
            <w:r>
              <w:t>8.43 cmol(+)/kg</w:t>
            </w:r>
          </w:p>
        </w:tc>
      </w:tr>
      <w:tr>
        <w:tc>
          <w:tcPr>
            <w:tcW w:type="dxa" w:w="4320"/>
          </w:tcPr>
          <w:p>
            <w:r>
              <w:t>最小值</w:t>
            </w:r>
          </w:p>
        </w:tc>
        <w:tc>
          <w:tcPr>
            <w:tcW w:type="dxa" w:w="4320"/>
          </w:tcPr>
          <w:p>
            <w:r>
              <w:t>3.12 cmol(+)/kg</w:t>
            </w:r>
          </w:p>
        </w:tc>
      </w:tr>
      <w:tr>
        <w:tc>
          <w:tcPr>
            <w:tcW w:type="dxa" w:w="4320"/>
          </w:tcPr>
          <w:p>
            <w:r>
              <w:t>最大值</w:t>
            </w:r>
          </w:p>
        </w:tc>
        <w:tc>
          <w:tcPr>
            <w:tcW w:type="dxa" w:w="4320"/>
          </w:tcPr>
          <w:p>
            <w:r>
              <w:t>20.10 cmol(+)/kg</w:t>
            </w:r>
          </w:p>
        </w:tc>
      </w:tr>
    </w:tbl>
    <w:p/>
    <w:p>
      <w:pPr>
        <w:pStyle w:val="Heading2"/>
      </w:pPr>
      <w:r>
        <w:t>2.3 专家分析</w:t>
      </w:r>
    </w:p>
    <w:p>
      <w:r>
        <w:t>根据对a地区199个土壤样品的检测结果，交换性盐基总量平均值为8.83 cmol(+)/kg，中位值为8.43 cmol(+)/kg，数据整体处于中等偏上水平。数值分布范围较广，从3.12 cmol(+)/kg至20.10 cmol(+)/kg，表明区域内土壤盐基状况存在显著的空间异质性。从等级分布来看，超过半数的样品（约55.3%）处于中等（5-10 cmol(+)/kg）范围，同时有相当比例的样品达到较高（10-15 cmol(+)/kg，占25.1%）和极高（&gt;15 cmol(+)/kg，占8.0%）水平，而低（&lt;5 cmol(+)/kg）水平样品仅占11.6%。该平均值显著高于全国第二次土壤普查公布的多数耕作土壤的平均水平（通常约5-8 cmol(+)/kg），反映出a地区土壤整体盐基饱和度较高，保肥供肥能力较强，但部分极高值点位需关注盐基离子可能过量积累的风险。数据分布右偏（平均值&gt;中位值），提示存在部分高值样本抬升了整体均值。</w:t>
      </w:r>
    </w:p>
    <w:p/>
    <w:p>
      <w:pPr>
        <w:pStyle w:val="Heading1"/>
      </w:pPr>
      <w:r>
        <w:t>三、等级分布分析</w:t>
      </w:r>
    </w:p>
    <w:p>
      <w:pPr>
        <w:pStyle w:val="Heading2"/>
      </w:pPr>
      <w:r>
        <w:t>3.1 等级统计表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等级</w:t>
            </w:r>
          </w:p>
        </w:tc>
        <w:tc>
          <w:tcPr>
            <w:tcW w:type="dxa" w:w="1440"/>
          </w:tcPr>
          <w:p>
            <w:r>
              <w:rPr>
                <w:b/>
              </w:rPr>
              <w:t>值域</w:t>
            </w:r>
          </w:p>
        </w:tc>
        <w:tc>
          <w:tcPr>
            <w:tcW w:type="dxa" w:w="1440"/>
          </w:tcPr>
          <w:p>
            <w:r>
              <w:rPr>
                <w:b/>
              </w:rPr>
              <w:t>样点数</w:t>
            </w:r>
          </w:p>
        </w:tc>
        <w:tc>
          <w:tcPr>
            <w:tcW w:type="dxa" w:w="1440"/>
          </w:tcPr>
          <w:p>
            <w:r>
              <w:rPr>
                <w:b/>
              </w:rPr>
              <w:t>样点占比</w:t>
            </w:r>
          </w:p>
        </w:tc>
        <w:tc>
          <w:tcPr>
            <w:tcW w:type="dxa" w:w="1440"/>
          </w:tcPr>
          <w:p>
            <w:r>
              <w:rPr>
                <w:b/>
              </w:rPr>
              <w:t>面积(亩)</w:t>
            </w:r>
          </w:p>
        </w:tc>
        <w:tc>
          <w:tcPr>
            <w:tcW w:type="dxa" w:w="1440"/>
          </w:tcPr>
          <w:p>
            <w:r>
              <w:rPr>
                <w:b/>
              </w:rPr>
              <w:t>面积占比</w:t>
            </w:r>
          </w:p>
        </w:tc>
      </w:tr>
      <w:tr>
        <w:tc>
          <w:tcPr>
            <w:tcW w:type="dxa" w:w="1440"/>
          </w:tcPr>
          <w:p>
            <w:r>
              <w:t>1级</w:t>
            </w:r>
          </w:p>
        </w:tc>
        <w:tc>
          <w:tcPr>
            <w:tcW w:type="dxa" w:w="1440"/>
          </w:tcPr>
          <w:p>
            <w:r>
              <w:t>低</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2级</w:t>
            </w:r>
          </w:p>
        </w:tc>
        <w:tc>
          <w:tcPr>
            <w:tcW w:type="dxa" w:w="1440"/>
          </w:tcPr>
          <w:p>
            <w:r>
              <w:t>较低</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3级</w:t>
            </w:r>
          </w:p>
        </w:tc>
        <w:tc>
          <w:tcPr>
            <w:tcW w:type="dxa" w:w="1440"/>
          </w:tcPr>
          <w:p>
            <w:r>
              <w:t>中</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4级</w:t>
            </w:r>
          </w:p>
        </w:tc>
        <w:tc>
          <w:tcPr>
            <w:tcW w:type="dxa" w:w="1440"/>
          </w:tcPr>
          <w:p>
            <w:r>
              <w:t>较高</w:t>
            </w:r>
          </w:p>
        </w:tc>
        <w:tc>
          <w:tcPr>
            <w:tcW w:type="dxa" w:w="1440"/>
          </w:tcPr>
          <w:p>
            <w:r>
              <w:t>0</w:t>
            </w:r>
          </w:p>
        </w:tc>
        <w:tc>
          <w:tcPr>
            <w:tcW w:type="dxa" w:w="1440"/>
          </w:tcPr>
          <w:p>
            <w:r>
              <w:t>0.0%</w:t>
            </w:r>
          </w:p>
        </w:tc>
        <w:tc>
          <w:tcPr>
            <w:tcW w:type="dxa" w:w="1440"/>
          </w:tcPr>
          <w:p>
            <w:r>
              <w:t>0.0</w:t>
            </w:r>
          </w:p>
        </w:tc>
        <w:tc>
          <w:tcPr>
            <w:tcW w:type="dxa" w:w="1440"/>
          </w:tcPr>
          <w:p>
            <w:r>
              <w:t>0.0%</w:t>
            </w:r>
          </w:p>
        </w:tc>
      </w:tr>
      <w:tr>
        <w:tc>
          <w:tcPr>
            <w:tcW w:type="dxa" w:w="1440"/>
          </w:tcPr>
          <w:p>
            <w:r>
              <w:t>5级</w:t>
            </w:r>
          </w:p>
        </w:tc>
        <w:tc>
          <w:tcPr>
            <w:tcW w:type="dxa" w:w="1440"/>
          </w:tcPr>
          <w:p>
            <w:r>
              <w:t>高</w:t>
            </w:r>
          </w:p>
        </w:tc>
        <w:tc>
          <w:tcPr>
            <w:tcW w:type="dxa" w:w="1440"/>
          </w:tcPr>
          <w:p>
            <w:r>
              <w:t>0</w:t>
            </w:r>
          </w:p>
        </w:tc>
        <w:tc>
          <w:tcPr>
            <w:tcW w:type="dxa" w:w="1440"/>
          </w:tcPr>
          <w:p>
            <w:r>
              <w:t>0.0%</w:t>
            </w:r>
          </w:p>
        </w:tc>
        <w:tc>
          <w:tcPr>
            <w:tcW w:type="dxa" w:w="1440"/>
          </w:tcPr>
          <w:p>
            <w:r>
              <w:t>0.0</w:t>
            </w:r>
          </w:p>
        </w:tc>
        <w:tc>
          <w:tcPr>
            <w:tcW w:type="dxa" w:w="1440"/>
          </w:tcPr>
          <w:p>
            <w:r>
              <w:t>0.0%</w:t>
            </w:r>
          </w:p>
        </w:tc>
      </w:tr>
    </w:tbl>
    <w:p/>
    <w:p>
      <w:pPr>
        <w:pStyle w:val="Heading1"/>
      </w:pPr>
      <w:r>
        <w:t>四、乡镇分析</w:t>
      </w:r>
    </w:p>
    <w:p>
      <w:pPr>
        <w:pStyle w:val="Heading2"/>
      </w:pPr>
      <w:r>
        <w:t>4.1 乡镇均值对比</w:t>
      </w:r>
    </w:p>
    <w:p>
      <w:pPr>
        <w:jc w:val="center"/>
      </w:pPr>
      <w:r>
        <w:drawing>
          <wp:inline xmlns:a="http://schemas.openxmlformats.org/drawingml/2006/main" xmlns:pic="http://schemas.openxmlformats.org/drawingml/2006/picture">
            <wp:extent cx="5400000" cy="26621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662185"/>
                    </a:xfrm>
                    <a:prstGeom prst="rect"/>
                  </pic:spPr>
                </pic:pic>
              </a:graphicData>
            </a:graphic>
          </wp:inline>
        </w:drawing>
      </w:r>
    </w:p>
    <w:p>
      <w:pPr>
        <w:jc w:val="center"/>
      </w:pPr>
      <w:r>
        <w:rPr>
          <w:i/>
          <w:sz w:val="20"/>
        </w:rPr>
        <w:t>图：各乡镇均值对比</w:t>
      </w:r>
    </w:p>
    <w:p/>
    <w:p>
      <w:pPr>
        <w:pStyle w:val="Heading2"/>
      </w:pPr>
      <w:r>
        <w:t>4.2 乡镇等级分布</w:t>
      </w:r>
    </w:p>
    <w:p>
      <w:pPr>
        <w:jc w:val="center"/>
      </w:pPr>
      <w:r>
        <w:drawing>
          <wp:inline xmlns:a="http://schemas.openxmlformats.org/drawingml/2006/main" xmlns:pic="http://schemas.openxmlformats.org/drawingml/2006/picture">
            <wp:extent cx="5400000" cy="22712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271245"/>
                    </a:xfrm>
                    <a:prstGeom prst="rect"/>
                  </pic:spPr>
                </pic:pic>
              </a:graphicData>
            </a:graphic>
          </wp:inline>
        </w:drawing>
      </w:r>
    </w:p>
    <w:p>
      <w:pPr>
        <w:jc w:val="center"/>
      </w:pPr>
      <w:r>
        <w:rPr>
          <w:i/>
          <w:sz w:val="20"/>
        </w:rPr>
        <w:t>图：各乡镇等级占比分布</w:t>
      </w:r>
    </w:p>
    <w:p/>
    <w:p>
      <w:pPr>
        <w:pStyle w:val="Heading1"/>
      </w:pPr>
      <w:r>
        <w:t>五、结论与建议</w:t>
      </w:r>
    </w:p>
    <w:p>
      <w:pPr>
        <w:pStyle w:val="Heading2"/>
      </w:pPr>
      <w:r>
        <w:t>5.1 分析结论</w:t>
      </w:r>
    </w:p>
    <w:p>
      <w:r>
        <w:t>a地区土壤交换性盐基总量平均为8.83 cmol(+)/kg，整体处于中等水平。该含量基本能满足作物生长需求，但需注意监测其动态变化，防止因淋溶或作物吸收导致地力下降。</w:t>
      </w:r>
    </w:p>
    <w:p>
      <w:pPr>
        <w:pStyle w:val="Heading2"/>
      </w:pPr>
      <w:r>
        <w:t>5.2 改良建议</w:t>
      </w:r>
    </w:p>
    <w:p>
      <w:r>
        <w:t>1. 交换性盐基总量处于较高水平，表明土壤保肥供肥能力良好，无需专门补充石灰或钙镁等盐基物质。重点应转向优化养分平衡与提升有机质。</w:t>
        <w:br/>
        <w:t>2. 建议定期（如每年）进行土壤养分测试，重点关注氮、磷、钾及中微量元素的动态平衡，根据作物需求和检测结果实施精准施肥，避免盐基离子过量累积。</w:t>
        <w:br/>
        <w:t>3. 增施腐熟有机肥或种植绿肥翻压，这有助于维持土壤良好的缓冲性能和团粒结构，促进养分协调供应，并增强土壤的可持续生产能力。</w:t>
      </w:r>
    </w:p>
    <w:p/>
    <w:p/>
    <w:p>
      <w:pPr>
        <w:jc w:val="right"/>
      </w:pPr>
      <w:r>
        <w:rPr>
          <w:i/>
          <w:sz w:val="18"/>
        </w:rPr>
        <w:t>生成时间: 2025-12-07 21:10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