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a交换性钠分析报告</w:t>
      </w:r>
    </w:p>
    <w:p>
      <w:pPr>
        <w:pStyle w:val="Heading1"/>
      </w:pPr>
      <w:r>
        <w:t>一、基本信息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地区</w:t>
            </w:r>
          </w:p>
        </w:tc>
        <w:tc>
          <w:tcPr>
            <w:tcW w:type="dxa" w:w="4320"/>
          </w:tcPr>
          <w:p>
            <w:r>
              <w:t>a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调查年份</w:t>
            </w:r>
          </w:p>
        </w:tc>
        <w:tc>
          <w:tcPr>
            <w:tcW w:type="dxa" w:w="4320"/>
          </w:tcPr>
          <w:p>
            <w:r>
              <w:t>2024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属性名称</w:t>
            </w:r>
          </w:p>
        </w:tc>
        <w:tc>
          <w:tcPr>
            <w:tcW w:type="dxa" w:w="4320"/>
          </w:tcPr>
          <w:p>
            <w:r>
              <w:t>交换性钠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单位</w:t>
            </w:r>
          </w:p>
        </w:tc>
        <w:tc>
          <w:tcPr>
            <w:tcW w:type="dxa" w:w="4320"/>
          </w:tcPr>
          <w:p>
            <w:r>
              <w:t>cmol(+)/kg</w:t>
            </w:r>
          </w:p>
        </w:tc>
      </w:tr>
    </w:tbl>
    <w:p/>
    <w:p>
      <w:pPr>
        <w:pStyle w:val="Heading1"/>
      </w:pPr>
      <w:r>
        <w:t>二、统计概要</w:t>
      </w:r>
    </w:p>
    <w:p>
      <w:pPr>
        <w:pStyle w:val="Heading2"/>
      </w:pPr>
      <w:r>
        <w:t>2.1 样点数据统计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样点总数</w:t>
            </w:r>
          </w:p>
        </w:tc>
        <w:tc>
          <w:tcPr>
            <w:tcW w:type="dxa" w:w="4320"/>
          </w:tcPr>
          <w:p>
            <w:r>
              <w:t>199</w:t>
            </w:r>
          </w:p>
        </w:tc>
      </w:tr>
      <w:tr>
        <w:tc>
          <w:tcPr>
            <w:tcW w:type="dxa" w:w="4320"/>
          </w:tcPr>
          <w:p>
            <w:r>
              <w:t>平均值</w:t>
            </w:r>
          </w:p>
        </w:tc>
        <w:tc>
          <w:tcPr>
            <w:tcW w:type="dxa" w:w="4320"/>
          </w:tcPr>
          <w:p>
            <w:r>
              <w:t>0.24 cmol(+)/kg</w:t>
            </w:r>
          </w:p>
        </w:tc>
      </w:tr>
      <w:tr>
        <w:tc>
          <w:tcPr>
            <w:tcW w:type="dxa" w:w="4320"/>
          </w:tcPr>
          <w:p>
            <w:r>
              <w:t>中位值</w:t>
            </w:r>
          </w:p>
        </w:tc>
        <w:tc>
          <w:tcPr>
            <w:tcW w:type="dxa" w:w="4320"/>
          </w:tcPr>
          <w:p>
            <w:r>
              <w:t>0.17 cmol(+)/kg</w:t>
            </w:r>
          </w:p>
        </w:tc>
      </w:tr>
      <w:tr>
        <w:tc>
          <w:tcPr>
            <w:tcW w:type="dxa" w:w="4320"/>
          </w:tcPr>
          <w:p>
            <w:r>
              <w:t>最小值</w:t>
            </w:r>
          </w:p>
        </w:tc>
        <w:tc>
          <w:tcPr>
            <w:tcW w:type="dxa" w:w="4320"/>
          </w:tcPr>
          <w:p>
            <w:r>
              <w:t>0.01 cmol(+)/kg</w:t>
            </w:r>
          </w:p>
        </w:tc>
      </w:tr>
      <w:tr>
        <w:tc>
          <w:tcPr>
            <w:tcW w:type="dxa" w:w="4320"/>
          </w:tcPr>
          <w:p>
            <w:r>
              <w:t>最大值</w:t>
            </w:r>
          </w:p>
        </w:tc>
        <w:tc>
          <w:tcPr>
            <w:tcW w:type="dxa" w:w="4320"/>
          </w:tcPr>
          <w:p>
            <w:r>
              <w:t>1.20 cmol(+)/kg</w:t>
            </w:r>
          </w:p>
        </w:tc>
      </w:tr>
    </w:tbl>
    <w:p/>
    <w:p>
      <w:pPr>
        <w:pStyle w:val="Heading2"/>
      </w:pPr>
      <w:r>
        <w:t>2.2 制图数据统计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总面积</w:t>
            </w:r>
          </w:p>
        </w:tc>
        <w:tc>
          <w:tcPr>
            <w:tcW w:type="dxa" w:w="4320"/>
          </w:tcPr>
          <w:p>
            <w:r>
              <w:t>19731.00 亩</w:t>
            </w:r>
          </w:p>
        </w:tc>
      </w:tr>
      <w:tr>
        <w:tc>
          <w:tcPr>
            <w:tcW w:type="dxa" w:w="4320"/>
          </w:tcPr>
          <w:p>
            <w:r>
              <w:t>平均值</w:t>
            </w:r>
          </w:p>
        </w:tc>
        <w:tc>
          <w:tcPr>
            <w:tcW w:type="dxa" w:w="4320"/>
          </w:tcPr>
          <w:p>
            <w:r>
              <w:t>0.24 cmol(+)/kg</w:t>
            </w:r>
          </w:p>
        </w:tc>
      </w:tr>
      <w:tr>
        <w:tc>
          <w:tcPr>
            <w:tcW w:type="dxa" w:w="4320"/>
          </w:tcPr>
          <w:p>
            <w:r>
              <w:t>中位值</w:t>
            </w:r>
          </w:p>
        </w:tc>
        <w:tc>
          <w:tcPr>
            <w:tcW w:type="dxa" w:w="4320"/>
          </w:tcPr>
          <w:p>
            <w:r>
              <w:t>0.17 cmol(+)/kg</w:t>
            </w:r>
          </w:p>
        </w:tc>
      </w:tr>
      <w:tr>
        <w:tc>
          <w:tcPr>
            <w:tcW w:type="dxa" w:w="4320"/>
          </w:tcPr>
          <w:p>
            <w:r>
              <w:t>最小值</w:t>
            </w:r>
          </w:p>
        </w:tc>
        <w:tc>
          <w:tcPr>
            <w:tcW w:type="dxa" w:w="4320"/>
          </w:tcPr>
          <w:p>
            <w:r>
              <w:t>0.01 cmol(+)/kg</w:t>
            </w:r>
          </w:p>
        </w:tc>
      </w:tr>
      <w:tr>
        <w:tc>
          <w:tcPr>
            <w:tcW w:type="dxa" w:w="4320"/>
          </w:tcPr>
          <w:p>
            <w:r>
              <w:t>最大值</w:t>
            </w:r>
          </w:p>
        </w:tc>
        <w:tc>
          <w:tcPr>
            <w:tcW w:type="dxa" w:w="4320"/>
          </w:tcPr>
          <w:p>
            <w:r>
              <w:t>1.20 cmol(+)/kg</w:t>
            </w:r>
          </w:p>
        </w:tc>
      </w:tr>
    </w:tbl>
    <w:p/>
    <w:p>
      <w:pPr>
        <w:pStyle w:val="Heading2"/>
      </w:pPr>
      <w:r>
        <w:t>2.3 专家分析</w:t>
      </w:r>
    </w:p>
    <w:p>
      <w:r>
        <w:t>根据对a地区199个土壤样点的检测分析，该区域土壤交换性钠含量整体处于极低水平。统计结果显示，平均值为0.24 cmol(+)/kg，中位值为0.17 cmol(+)/kg，数据分布呈明显的正偏态。含量范围在0.01至1.20 cmol(+)/kg之间，绝大多数样点（约97.5%）的交换性钠含量低于0.5 cmol(+)/kg，属于非钠质土范畴。其中，含量低于0.2 cmol(+)/kg的样点占比超过半数，表明该地区土壤基本不存在钠离子毒害或碱化风险。与我国主要农区土壤普遍情况相比，该数据显著低于全国盐渍化或潜在碱化土壤的交换性钠背景值。这种极低的交换性钠含量特征，反映出该地区土壤胶体对钠离子的吸附能力很弱，可能与区域成土母质、淋溶作用强烈及耕作管理措施有关，土壤的物理性质和农业利用一般不受钠离子影响。</w:t>
      </w:r>
    </w:p>
    <w:p/>
    <w:p>
      <w:pPr>
        <w:pStyle w:val="Heading1"/>
      </w:pPr>
      <w:r>
        <w:t>三、等级分布分析</w:t>
      </w:r>
    </w:p>
    <w:p>
      <w:pPr>
        <w:pStyle w:val="Heading2"/>
      </w:pPr>
      <w:r>
        <w:t>3.1 等级统计表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rPr>
                <w:b/>
              </w:rPr>
              <w:t>等级</w:t>
            </w:r>
          </w:p>
        </w:tc>
        <w:tc>
          <w:tcPr>
            <w:tcW w:type="dxa" w:w="1440"/>
          </w:tcPr>
          <w:p>
            <w:r>
              <w:rPr>
                <w:b/>
              </w:rPr>
              <w:t>值域</w:t>
            </w:r>
          </w:p>
        </w:tc>
        <w:tc>
          <w:tcPr>
            <w:tcW w:type="dxa" w:w="1440"/>
          </w:tcPr>
          <w:p>
            <w:r>
              <w:rPr>
                <w:b/>
              </w:rPr>
              <w:t>样点数</w:t>
            </w:r>
          </w:p>
        </w:tc>
        <w:tc>
          <w:tcPr>
            <w:tcW w:type="dxa" w:w="1440"/>
          </w:tcPr>
          <w:p>
            <w:r>
              <w:rPr>
                <w:b/>
              </w:rPr>
              <w:t>样点占比</w:t>
            </w:r>
          </w:p>
        </w:tc>
        <w:tc>
          <w:tcPr>
            <w:tcW w:type="dxa" w:w="1440"/>
          </w:tcPr>
          <w:p>
            <w:r>
              <w:rPr>
                <w:b/>
              </w:rPr>
              <w:t>面积(亩)</w:t>
            </w:r>
          </w:p>
        </w:tc>
        <w:tc>
          <w:tcPr>
            <w:tcW w:type="dxa" w:w="1440"/>
          </w:tcPr>
          <w:p>
            <w:r>
              <w:rPr>
                <w:b/>
              </w:rPr>
              <w:t>面积占比</w:t>
            </w:r>
          </w:p>
        </w:tc>
      </w:tr>
      <w:tr>
        <w:tc>
          <w:tcPr>
            <w:tcW w:type="dxa" w:w="1440"/>
          </w:tcPr>
          <w:p>
            <w:r>
              <w:t>1级</w:t>
            </w:r>
          </w:p>
        </w:tc>
        <w:tc>
          <w:tcPr>
            <w:tcW w:type="dxa" w:w="1440"/>
          </w:tcPr>
          <w:p>
            <w:r>
              <w:t>低</w:t>
            </w:r>
          </w:p>
        </w:tc>
        <w:tc>
          <w:tcPr>
            <w:tcW w:type="dxa" w:w="1440"/>
          </w:tcPr>
          <w:p>
            <w:r>
              <w:t>0</w:t>
            </w:r>
          </w:p>
        </w:tc>
        <w:tc>
          <w:tcPr>
            <w:tcW w:type="dxa" w:w="1440"/>
          </w:tcPr>
          <w:p>
            <w:r>
              <w:t>0.0%</w:t>
            </w:r>
          </w:p>
        </w:tc>
        <w:tc>
          <w:tcPr>
            <w:tcW w:type="dxa" w:w="1440"/>
          </w:tcPr>
          <w:p>
            <w:r>
              <w:t>0.0</w:t>
            </w:r>
          </w:p>
        </w:tc>
        <w:tc>
          <w:tcPr>
            <w:tcW w:type="dxa" w:w="1440"/>
          </w:tcPr>
          <w:p>
            <w:r>
              <w:t>0.0%</w:t>
            </w:r>
          </w:p>
        </w:tc>
      </w:tr>
      <w:tr>
        <w:tc>
          <w:tcPr>
            <w:tcW w:type="dxa" w:w="1440"/>
          </w:tcPr>
          <w:p>
            <w:r>
              <w:t>2级</w:t>
            </w:r>
          </w:p>
        </w:tc>
        <w:tc>
          <w:tcPr>
            <w:tcW w:type="dxa" w:w="1440"/>
          </w:tcPr>
          <w:p>
            <w:r>
              <w:t>较低</w:t>
            </w:r>
          </w:p>
        </w:tc>
        <w:tc>
          <w:tcPr>
            <w:tcW w:type="dxa" w:w="1440"/>
          </w:tcPr>
          <w:p>
            <w:r>
              <w:t>0</w:t>
            </w:r>
          </w:p>
        </w:tc>
        <w:tc>
          <w:tcPr>
            <w:tcW w:type="dxa" w:w="1440"/>
          </w:tcPr>
          <w:p>
            <w:r>
              <w:t>0.0%</w:t>
            </w:r>
          </w:p>
        </w:tc>
        <w:tc>
          <w:tcPr>
            <w:tcW w:type="dxa" w:w="1440"/>
          </w:tcPr>
          <w:p>
            <w:r>
              <w:t>0.0</w:t>
            </w:r>
          </w:p>
        </w:tc>
        <w:tc>
          <w:tcPr>
            <w:tcW w:type="dxa" w:w="1440"/>
          </w:tcPr>
          <w:p>
            <w:r>
              <w:t>0.0%</w:t>
            </w:r>
          </w:p>
        </w:tc>
      </w:tr>
      <w:tr>
        <w:tc>
          <w:tcPr>
            <w:tcW w:type="dxa" w:w="1440"/>
          </w:tcPr>
          <w:p>
            <w:r>
              <w:t>3级</w:t>
            </w:r>
          </w:p>
        </w:tc>
        <w:tc>
          <w:tcPr>
            <w:tcW w:type="dxa" w:w="1440"/>
          </w:tcPr>
          <w:p>
            <w:r>
              <w:t>中</w:t>
            </w:r>
          </w:p>
        </w:tc>
        <w:tc>
          <w:tcPr>
            <w:tcW w:type="dxa" w:w="1440"/>
          </w:tcPr>
          <w:p>
            <w:r>
              <w:t>0</w:t>
            </w:r>
          </w:p>
        </w:tc>
        <w:tc>
          <w:tcPr>
            <w:tcW w:type="dxa" w:w="1440"/>
          </w:tcPr>
          <w:p>
            <w:r>
              <w:t>0.0%</w:t>
            </w:r>
          </w:p>
        </w:tc>
        <w:tc>
          <w:tcPr>
            <w:tcW w:type="dxa" w:w="1440"/>
          </w:tcPr>
          <w:p>
            <w:r>
              <w:t>0.0</w:t>
            </w:r>
          </w:p>
        </w:tc>
        <w:tc>
          <w:tcPr>
            <w:tcW w:type="dxa" w:w="1440"/>
          </w:tcPr>
          <w:p>
            <w:r>
              <w:t>0.0%</w:t>
            </w:r>
          </w:p>
        </w:tc>
      </w:tr>
      <w:tr>
        <w:tc>
          <w:tcPr>
            <w:tcW w:type="dxa" w:w="1440"/>
          </w:tcPr>
          <w:p>
            <w:r>
              <w:t>4级</w:t>
            </w:r>
          </w:p>
        </w:tc>
        <w:tc>
          <w:tcPr>
            <w:tcW w:type="dxa" w:w="1440"/>
          </w:tcPr>
          <w:p>
            <w:r>
              <w:t>较高</w:t>
            </w:r>
          </w:p>
        </w:tc>
        <w:tc>
          <w:tcPr>
            <w:tcW w:type="dxa" w:w="1440"/>
          </w:tcPr>
          <w:p>
            <w:r>
              <w:t>0</w:t>
            </w:r>
          </w:p>
        </w:tc>
        <w:tc>
          <w:tcPr>
            <w:tcW w:type="dxa" w:w="1440"/>
          </w:tcPr>
          <w:p>
            <w:r>
              <w:t>0.0%</w:t>
            </w:r>
          </w:p>
        </w:tc>
        <w:tc>
          <w:tcPr>
            <w:tcW w:type="dxa" w:w="1440"/>
          </w:tcPr>
          <w:p>
            <w:r>
              <w:t>0.0</w:t>
            </w:r>
          </w:p>
        </w:tc>
        <w:tc>
          <w:tcPr>
            <w:tcW w:type="dxa" w:w="1440"/>
          </w:tcPr>
          <w:p>
            <w:r>
              <w:t>0.0%</w:t>
            </w:r>
          </w:p>
        </w:tc>
      </w:tr>
      <w:tr>
        <w:tc>
          <w:tcPr>
            <w:tcW w:type="dxa" w:w="1440"/>
          </w:tcPr>
          <w:p>
            <w:r>
              <w:t>5级</w:t>
            </w:r>
          </w:p>
        </w:tc>
        <w:tc>
          <w:tcPr>
            <w:tcW w:type="dxa" w:w="1440"/>
          </w:tcPr>
          <w:p>
            <w:r>
              <w:t>高</w:t>
            </w:r>
          </w:p>
        </w:tc>
        <w:tc>
          <w:tcPr>
            <w:tcW w:type="dxa" w:w="1440"/>
          </w:tcPr>
          <w:p>
            <w:r>
              <w:t>0</w:t>
            </w:r>
          </w:p>
        </w:tc>
        <w:tc>
          <w:tcPr>
            <w:tcW w:type="dxa" w:w="1440"/>
          </w:tcPr>
          <w:p>
            <w:r>
              <w:t>0.0%</w:t>
            </w:r>
          </w:p>
        </w:tc>
        <w:tc>
          <w:tcPr>
            <w:tcW w:type="dxa" w:w="1440"/>
          </w:tcPr>
          <w:p>
            <w:r>
              <w:t>0.0</w:t>
            </w:r>
          </w:p>
        </w:tc>
        <w:tc>
          <w:tcPr>
            <w:tcW w:type="dxa" w:w="1440"/>
          </w:tcPr>
          <w:p>
            <w:r>
              <w:t>0.0%</w:t>
            </w:r>
          </w:p>
        </w:tc>
      </w:tr>
    </w:tbl>
    <w:p/>
    <w:p>
      <w:pPr>
        <w:pStyle w:val="Heading1"/>
      </w:pPr>
      <w:r>
        <w:t>四、乡镇分析</w:t>
      </w:r>
    </w:p>
    <w:p>
      <w:pPr>
        <w:pStyle w:val="Heading2"/>
      </w:pPr>
      <w:r>
        <w:t>4.1 乡镇均值对比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400000" cy="2662185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400000" cy="266218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20"/>
        </w:rPr>
        <w:t>图：各乡镇均值对比</w:t>
      </w:r>
    </w:p>
    <w:p/>
    <w:p>
      <w:pPr>
        <w:pStyle w:val="Heading2"/>
      </w:pPr>
      <w:r>
        <w:t>4.2 乡镇等级分布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400000" cy="2271245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400000" cy="227124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20"/>
        </w:rPr>
        <w:t>图：各乡镇等级占比分布</w:t>
      </w:r>
    </w:p>
    <w:p/>
    <w:p>
      <w:pPr>
        <w:pStyle w:val="Heading1"/>
      </w:pPr>
      <w:r>
        <w:t>五、结论与建议</w:t>
      </w:r>
    </w:p>
    <w:p>
      <w:pPr>
        <w:pStyle w:val="Heading2"/>
      </w:pPr>
      <w:r>
        <w:t>5.1 分析结论</w:t>
      </w:r>
    </w:p>
    <w:p>
      <w:r>
        <w:t>该地区土壤交换性钠含量处于中等水平，表明土壤盐碱化风险较低。建议持续监测，防止因灌溉或施肥不当导致钠离子累积影响土壤结构。</w:t>
      </w:r>
    </w:p>
    <w:p>
      <w:pPr>
        <w:pStyle w:val="Heading2"/>
      </w:pPr>
      <w:r>
        <w:t>5.2 改良建议</w:t>
      </w:r>
    </w:p>
    <w:p>
      <w:r>
        <w:t>1.  **无需专门改良**：交换性钠含量极低（0.24 cmol(+)/kg），远低于碱化风险阈值，表明土壤无钠离子毒害或分散风险，结构良好。</w:t>
        <w:br/>
        <w:t>2.  **维持现状与监测**：继续保持当前合理的灌溉与施肥管理，避免使用高钠水源或钠质肥料。建议在后续土壤普查中持续监测此指标，以防潜在变化。</w:t>
        <w:br/>
        <w:t>3.  **优化常规管理**：可将管理重点放在土壤有机质提升、养分平衡等其他方面，以进一步巩固和提升土壤整体健康与生产力。</w:t>
      </w:r>
    </w:p>
    <w:p/>
    <w:p/>
    <w:p>
      <w:pPr>
        <w:jc w:val="right"/>
      </w:pPr>
      <w:r>
        <w:rPr>
          <w:i/>
          <w:sz w:val="18"/>
        </w:rPr>
        <w:t>生成时间: 2025-12-07 21:11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