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a有机质分析报告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有机质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>
              <w:t>g/kg</w:t>
            </w:r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199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12.24 g/kg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11.80 g/kg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2.09 g/kg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30.90 g/kg</w:t>
            </w:r>
          </w:p>
        </w:tc>
      </w:tr>
    </w:tbl>
    <w:p/>
    <w:p>
      <w:pPr>
        <w:pStyle w:val="Heading2"/>
      </w:pPr>
      <w:r>
        <w:t>2.2 制图数据统计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总面积</w:t>
            </w:r>
          </w:p>
        </w:tc>
        <w:tc>
          <w:tcPr>
            <w:tcW w:type="dxa" w:w="4320"/>
          </w:tcPr>
          <w:p>
            <w:r>
              <w:t>19731.00 亩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12.24 g/kg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11.80 g/kg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2.09 g/kg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30.90 g/kg</w:t>
            </w:r>
          </w:p>
        </w:tc>
      </w:tr>
    </w:tbl>
    <w:p/>
    <w:p>
      <w:pPr>
        <w:pStyle w:val="Heading2"/>
      </w:pPr>
      <w:r>
        <w:t>2.3 专家分析</w:t>
      </w:r>
    </w:p>
    <w:p>
      <w:r>
        <w:t>根据对a地区199个土壤样点的检测分析，该区域表层土壤有机质含量平均值为12.24 g/kg，中位值为11.80 g/kg，整体处于中等水平。从分布范围来看，含量变幅较大，介于2.09 g/kg至30.90 g/kg之间，表明区域内土壤有机质空间异质性显著。根据《全国第二次土壤普查养分分级标准》进行评价，样点中有机质含量主要集中分布于Ⅲ级（中等，10-20 g/kg）和Ⅳ级（较缺，6-10 g/kg）区间，合计占比超过70%，这构成了该地区土壤肥力的主体。同时，存在少量处于Ⅴ级（缺乏，&lt;6 g/kg）和Ⅱ级（较丰，20-30 g/kg）的样点，极少数样点达到Ⅰ级（丰富，&gt;30 g/kg）。该数据整体略低于我国耕地土壤有机质平均含量（约24 g/kg），反映出该地区土壤有机质总体储备尚有提升空间，加强有机物料投入和推广保护性耕作措施对于培育土壤肥力、提升地力具有积极意义。</w:t>
      </w:r>
    </w:p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较低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较高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四、乡镇分析</w:t>
      </w:r>
    </w:p>
    <w:p>
      <w:pPr>
        <w:pStyle w:val="Heading2"/>
      </w:pPr>
      <w:r>
        <w:t>4.1 乡镇均值对比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2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pStyle w:val="Heading2"/>
      </w:pPr>
      <w:r>
        <w:t>4.2 乡镇等级分布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71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1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>
      <w:pPr>
        <w:pStyle w:val="Heading1"/>
      </w:pPr>
      <w:r>
        <w:t>五、结论与建议</w:t>
      </w:r>
    </w:p>
    <w:p>
      <w:pPr>
        <w:pStyle w:val="Heading2"/>
      </w:pPr>
      <w:r>
        <w:t>5.1 分析结论</w:t>
      </w:r>
    </w:p>
    <w:p>
      <w:r>
        <w:t>该地区土壤有机质整体处于中等水平。需关注其含量偏低，建议通过增施有机肥等措施进行提升，以改善土壤肥力。</w:t>
      </w:r>
    </w:p>
    <w:p>
      <w:pPr>
        <w:pStyle w:val="Heading2"/>
      </w:pPr>
      <w:r>
        <w:t>5.2 改良建议</w:t>
      </w:r>
    </w:p>
    <w:p>
      <w:r>
        <w:t>1. 维持现有有机质水平：鉴于土壤有机质含量处于中等水平（12.24 g/kg）且无低等级样本，核心任务是维持而非大幅提升。建议实施秸秆还田或种植绿肥（如紫云英），每年补充适量有机物料，以抵消矿化消耗。</w:t>
        <w:br/>
        <w:t>2. 优化施肥结构：减少单一化肥依赖，推广有机无机配施。可基施腐熟农家肥（如牛粪）2-3吨/亩或商品有机肥300-500公斤/亩，配合深翻（20-25厘米）以促进融合。</w:t>
        <w:br/>
        <w:t>3. 推行保护性耕作：采用少耕、免耕结合地表覆盖（秸秆或地膜），减少土壤扰动，降低有机质分解速率，同时加强田间水分管理，避免渍水导致有机质流失。</w:t>
      </w:r>
    </w:p>
    <w:p/>
    <w:p/>
    <w:p>
      <w:pPr>
        <w:jc w:val="right"/>
      </w:pPr>
      <w:r>
        <w:rPr>
          <w:i/>
          <w:sz w:val="18"/>
        </w:rPr>
        <w:t>生成时间: 2025-12-07 21:13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