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a机械组成-砂粒分析报告</w:t>
      </w:r>
    </w:p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地区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调查年份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属性名称</w:t>
            </w:r>
          </w:p>
        </w:tc>
        <w:tc>
          <w:tcPr>
            <w:tcW w:type="dxa" w:w="4320"/>
          </w:tcPr>
          <w:p>
            <w:r>
              <w:t>机械组成-砂粒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4320"/>
          </w:tcPr>
          <w:p>
            <w:r>
              <w:t>%</w:t>
            </w:r>
          </w:p>
        </w:tc>
      </w:tr>
    </w:tbl>
    <w:p/>
    <w:p>
      <w:pPr>
        <w:pStyle w:val="Heading1"/>
      </w:pPr>
      <w:r>
        <w:t>二、统计概要</w:t>
      </w:r>
    </w:p>
    <w:p>
      <w:pPr>
        <w:pStyle w:val="Heading2"/>
      </w:pPr>
      <w:r>
        <w:t>2.1 样点数据统计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样点总数</w:t>
            </w:r>
          </w:p>
        </w:tc>
        <w:tc>
          <w:tcPr>
            <w:tcW w:type="dxa" w:w="4320"/>
          </w:tcPr>
          <w:p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70.35 %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76.40 %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22.20 %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94.10 %</w:t>
            </w:r>
          </w:p>
        </w:tc>
      </w:tr>
    </w:tbl>
    <w:p/>
    <w:p>
      <w:pPr>
        <w:pStyle w:val="Heading2"/>
      </w:pPr>
      <w:r>
        <w:t>2.2 制图数据统计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总面积</w:t>
            </w:r>
          </w:p>
        </w:tc>
        <w:tc>
          <w:tcPr>
            <w:tcW w:type="dxa" w:w="4320"/>
          </w:tcPr>
          <w:p>
            <w:r>
              <w:t>10017.00 亩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70.35 %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76.40 %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22.20 %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94.10 %</w:t>
            </w:r>
          </w:p>
        </w:tc>
      </w:tr>
    </w:tbl>
    <w:p/>
    <w:p>
      <w:pPr>
        <w:pStyle w:val="Heading2"/>
      </w:pPr>
      <w:r>
        <w:t>2.3 专家分析</w:t>
      </w:r>
    </w:p>
    <w:p>
      <w:r>
        <w:t>根据对a地区101个土壤样点的检测数据，该区域土壤机械组成中砂粒含量整体处于极高水平。砂粒含量平均值为70.35%，中位值高达76.40%，表明数据分布存在一定程度的左偏，即存在部分样点砂粒含量显著低于主体水平。数据范围跨度较大（22.20% ~ 94.10%），揭示了区域内土壤质地的空间异质性，但绝大多数样点（超过75%）的砂粒含量高于50%，符合砂土或壤质砂土的质地分类标准。与全国土壤普查通常揭示的砂粒平均含量相比，该地区数值显著偏高，属于典型的砂质土壤区域。这种高砂粒含量意味着土壤孔隙度大、持水保肥能力弱、通气透水性极强，对农业生产中的水肥管理提出了特殊要求，也暗示了其易受风蚀和水蚀影响的生态脆弱性。</w:t>
      </w:r>
    </w:p>
    <w:p/>
    <w:p>
      <w:pPr>
        <w:pStyle w:val="Heading1"/>
      </w:pPr>
      <w:r>
        <w:t>三、等级分布分析</w:t>
      </w:r>
    </w:p>
    <w:p>
      <w:pPr>
        <w:pStyle w:val="Heading2"/>
      </w:pPr>
      <w:r>
        <w:t>3.1 等级统计表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值域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样点占比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面积(亩)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面积占比</w:t>
            </w:r>
          </w:p>
        </w:tc>
      </w:tr>
      <w:tr>
        <w:tc>
          <w:tcPr>
            <w:tcW w:type="dxa" w:w="1440"/>
          </w:tcPr>
          <w:p>
            <w:r>
              <w:t>5级</w:t>
            </w:r>
          </w:p>
        </w:tc>
        <w:tc>
          <w:tcPr>
            <w:tcW w:type="dxa" w:w="1440"/>
          </w:tcPr>
          <w:p>
            <w:r>
              <w:t>≤15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4级</w:t>
            </w:r>
          </w:p>
        </w:tc>
        <w:tc>
          <w:tcPr>
            <w:tcW w:type="dxa" w:w="1440"/>
          </w:tcPr>
          <w:p>
            <w:r>
              <w:t>15～25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3级</w:t>
            </w:r>
          </w:p>
        </w:tc>
        <w:tc>
          <w:tcPr>
            <w:tcW w:type="dxa" w:w="1440"/>
          </w:tcPr>
          <w:p>
            <w:r>
              <w:t>25～45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2级</w:t>
            </w:r>
          </w:p>
        </w:tc>
        <w:tc>
          <w:tcPr>
            <w:tcW w:type="dxa" w:w="1440"/>
          </w:tcPr>
          <w:p>
            <w:r>
              <w:t>45～65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1级</w:t>
            </w:r>
          </w:p>
        </w:tc>
        <w:tc>
          <w:tcPr>
            <w:tcW w:type="dxa" w:w="1440"/>
          </w:tcPr>
          <w:p>
            <w:r>
              <w:t>65～100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</w:tbl>
    <w:p/>
    <w:p>
      <w:pPr>
        <w:pStyle w:val="Heading1"/>
      </w:pPr>
      <w:r>
        <w:t>四、乡镇分析</w:t>
      </w:r>
    </w:p>
    <w:p>
      <w:pPr>
        <w:pStyle w:val="Heading2"/>
      </w:pPr>
      <w:r>
        <w:t>4.1 乡镇均值对比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62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2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图：各乡镇均值对比</w:t>
      </w:r>
    </w:p>
    <w:p/>
    <w:p>
      <w:pPr>
        <w:pStyle w:val="Heading2"/>
      </w:pPr>
      <w:r>
        <w:t>4.2 乡镇等级分布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71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71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图：各乡镇等级占比分布</w:t>
      </w:r>
    </w:p>
    <w:p/>
    <w:p>
      <w:pPr>
        <w:pStyle w:val="Heading1"/>
      </w:pPr>
      <w:r>
        <w:t>五、结论与建议</w:t>
      </w:r>
    </w:p>
    <w:p>
      <w:pPr>
        <w:pStyle w:val="Heading2"/>
      </w:pPr>
      <w:r>
        <w:t>5.1 分析结论</w:t>
      </w:r>
    </w:p>
    <w:p>
      <w:r>
        <w:t>该地区土壤砂粒含量为70.35%，整体处于中等水平。砂粒含量偏高，需关注其可能导致的土壤保水保肥能力较弱、结构松散等问题。</w:t>
      </w:r>
    </w:p>
    <w:p>
      <w:pPr>
        <w:pStyle w:val="Heading2"/>
      </w:pPr>
      <w:r>
        <w:t>5.2 改良建议</w:t>
      </w:r>
    </w:p>
    <w:p>
      <w:r>
        <w:t>根据分析结果，该地区土壤砂粒含量极高（&gt;70%），属于典型的砂质土。改良核心在于提高保水保肥能力与增加有机质。</w:t>
        <w:br/>
        <w:br/>
        <w:t>1.  **增施有机物料**：持续大量施用腐熟农家肥、作物秸秆或绿肥，这是改良砂土最根本的措施，可显著增加土壤有机质，改善团聚结构。</w:t>
        <w:br/>
        <w:t>2.  **推行黏土客土法**：有条件时，可掺入黏土、河泥或塘泥，直接调整土壤颗粒组成，增强其保蓄性能。</w:t>
        <w:br/>
        <w:t>3.  **改进灌溉与施肥管理**：采用少量多次的灌溉和施肥原则，并优先选用缓释肥料，以减少养分流失，提高水肥利用效率。</w:t>
      </w:r>
    </w:p>
    <w:p/>
    <w:p/>
    <w:p>
      <w:pPr>
        <w:jc w:val="right"/>
      </w:pPr>
      <w:r>
        <w:rPr>
          <w:i/>
          <w:sz w:val="18"/>
        </w:rPr>
        <w:t>生成时间: 2025-12-07 21:18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