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a机械组成-粉粒分析报告</w:t>
      </w:r>
    </w:p>
    <w:p>
      <w:pPr>
        <w:pStyle w:val="Heading1"/>
      </w:pPr>
      <w:r>
        <w:t>一、基本信息</w:t>
      </w:r>
    </w:p>
    <w:tbl>
      <w:tblPr>
        <w:tblStyle w:val="TableGrid"/>
        <w:tblW w:type="auto" w:w="0"/>
        <w:tblLook w:firstColumn="1" w:firstRow="1" w:lastColumn="0" w:lastRow="0" w:noHBand="0" w:noVBand="1" w:val="04A0"/>
      </w:tblPr>
      <w:tblGrid>
        <w:gridCol w:w="4320"/>
        <w:gridCol w:w="4320"/>
      </w:tblGrid>
      <w:tr>
        <w:tc>
          <w:tcPr>
            <w:tcW w:type="dxa" w:w="4320"/>
          </w:tcPr>
          <w:p>
            <w:r>
              <w:rPr>
                <w:b/>
              </w:rPr>
              <w:t>地区</w:t>
            </w:r>
          </w:p>
        </w:tc>
        <w:tc>
          <w:tcPr>
            <w:tcW w:type="dxa" w:w="4320"/>
          </w:tcPr>
          <w:p>
            <w:r>
              <w:t>a</w:t>
            </w:r>
          </w:p>
        </w:tc>
      </w:tr>
      <w:tr>
        <w:tc>
          <w:tcPr>
            <w:tcW w:type="dxa" w:w="4320"/>
          </w:tcPr>
          <w:p>
            <w:r>
              <w:rPr>
                <w:b/>
              </w:rPr>
              <w:t>调查年份</w:t>
            </w:r>
          </w:p>
        </w:tc>
        <w:tc>
          <w:tcPr>
            <w:tcW w:type="dxa" w:w="4320"/>
          </w:tcPr>
          <w:p>
            <w:r>
              <w:t>2024</w:t>
            </w:r>
          </w:p>
        </w:tc>
      </w:tr>
      <w:tr>
        <w:tc>
          <w:tcPr>
            <w:tcW w:type="dxa" w:w="4320"/>
          </w:tcPr>
          <w:p>
            <w:r>
              <w:rPr>
                <w:b/>
              </w:rPr>
              <w:t>属性名称</w:t>
            </w:r>
          </w:p>
        </w:tc>
        <w:tc>
          <w:tcPr>
            <w:tcW w:type="dxa" w:w="4320"/>
          </w:tcPr>
          <w:p>
            <w:r>
              <w:t>机械组成-粉粒</w:t>
            </w:r>
          </w:p>
        </w:tc>
      </w:tr>
      <w:tr>
        <w:tc>
          <w:tcPr>
            <w:tcW w:type="dxa" w:w="4320"/>
          </w:tcPr>
          <w:p>
            <w:r>
              <w:rPr>
                <w:b/>
              </w:rPr>
              <w:t>单位</w:t>
            </w:r>
          </w:p>
        </w:tc>
        <w:tc>
          <w:tcPr>
            <w:tcW w:type="dxa" w:w="4320"/>
          </w:tcPr>
          <w:p>
            <w:r>
              <w:t>%</w:t>
            </w:r>
          </w:p>
        </w:tc>
      </w:tr>
    </w:tbl>
    <w:p/>
    <w:p>
      <w:pPr>
        <w:pStyle w:val="Heading1"/>
      </w:pPr>
      <w:r>
        <w:t>二、统计概要</w:t>
      </w:r>
    </w:p>
    <w:p>
      <w:pPr>
        <w:pStyle w:val="Heading2"/>
      </w:pPr>
      <w:r>
        <w:t>2.1 样点数据统计</w:t>
      </w:r>
    </w:p>
    <w:tbl>
      <w:tblPr>
        <w:tblStyle w:val="TableGrid"/>
        <w:tblW w:type="auto" w:w="0"/>
        <w:tblLook w:firstColumn="1" w:firstRow="1" w:lastColumn="0" w:lastRow="0" w:noHBand="0" w:noVBand="1" w:val="04A0"/>
      </w:tblPr>
      <w:tblGrid>
        <w:gridCol w:w="4320"/>
        <w:gridCol w:w="4320"/>
      </w:tblGrid>
      <w:tr>
        <w:tc>
          <w:tcPr>
            <w:tcW w:type="dxa" w:w="4320"/>
          </w:tcPr>
          <w:p>
            <w:r>
              <w:t>样点总数</w:t>
            </w:r>
          </w:p>
        </w:tc>
        <w:tc>
          <w:tcPr>
            <w:tcW w:type="dxa" w:w="4320"/>
          </w:tcPr>
          <w:p>
            <w:r>
              <w:t>101</w:t>
            </w:r>
          </w:p>
        </w:tc>
      </w:tr>
      <w:tr>
        <w:tc>
          <w:tcPr>
            <w:tcW w:type="dxa" w:w="4320"/>
          </w:tcPr>
          <w:p>
            <w:r>
              <w:t>平均值</w:t>
            </w:r>
          </w:p>
        </w:tc>
        <w:tc>
          <w:tcPr>
            <w:tcW w:type="dxa" w:w="4320"/>
          </w:tcPr>
          <w:p>
            <w:r>
              <w:t>17.99 %</w:t>
            </w:r>
          </w:p>
        </w:tc>
      </w:tr>
      <w:tr>
        <w:tc>
          <w:tcPr>
            <w:tcW w:type="dxa" w:w="4320"/>
          </w:tcPr>
          <w:p>
            <w:r>
              <w:t>中位值</w:t>
            </w:r>
          </w:p>
        </w:tc>
        <w:tc>
          <w:tcPr>
            <w:tcW w:type="dxa" w:w="4320"/>
          </w:tcPr>
          <w:p>
            <w:r>
              <w:t>15.10 %</w:t>
            </w:r>
          </w:p>
        </w:tc>
      </w:tr>
      <w:tr>
        <w:tc>
          <w:tcPr>
            <w:tcW w:type="dxa" w:w="4320"/>
          </w:tcPr>
          <w:p>
            <w:r>
              <w:t>最小值</w:t>
            </w:r>
          </w:p>
        </w:tc>
        <w:tc>
          <w:tcPr>
            <w:tcW w:type="dxa" w:w="4320"/>
          </w:tcPr>
          <w:p>
            <w:r>
              <w:t>2.00 %</w:t>
            </w:r>
          </w:p>
        </w:tc>
      </w:tr>
      <w:tr>
        <w:tc>
          <w:tcPr>
            <w:tcW w:type="dxa" w:w="4320"/>
          </w:tcPr>
          <w:p>
            <w:r>
              <w:t>最大值</w:t>
            </w:r>
          </w:p>
        </w:tc>
        <w:tc>
          <w:tcPr>
            <w:tcW w:type="dxa" w:w="4320"/>
          </w:tcPr>
          <w:p>
            <w:r>
              <w:t>53.00 %</w:t>
            </w:r>
          </w:p>
        </w:tc>
      </w:tr>
    </w:tbl>
    <w:p/>
    <w:p>
      <w:pPr>
        <w:pStyle w:val="Heading2"/>
      </w:pPr>
      <w:r>
        <w:t>2.2 制图数据统计</w:t>
      </w:r>
    </w:p>
    <w:tbl>
      <w:tblPr>
        <w:tblStyle w:val="TableGrid"/>
        <w:tblW w:type="auto" w:w="0"/>
        <w:tblLook w:firstColumn="1" w:firstRow="1" w:lastColumn="0" w:lastRow="0" w:noHBand="0" w:noVBand="1" w:val="04A0"/>
      </w:tblPr>
      <w:tblGrid>
        <w:gridCol w:w="4320"/>
        <w:gridCol w:w="4320"/>
      </w:tblGrid>
      <w:tr>
        <w:tc>
          <w:tcPr>
            <w:tcW w:type="dxa" w:w="4320"/>
          </w:tcPr>
          <w:p>
            <w:r>
              <w:t>总面积</w:t>
            </w:r>
          </w:p>
        </w:tc>
        <w:tc>
          <w:tcPr>
            <w:tcW w:type="dxa" w:w="4320"/>
          </w:tcPr>
          <w:p>
            <w:r>
              <w:t>10017.00 亩</w:t>
            </w:r>
          </w:p>
        </w:tc>
      </w:tr>
      <w:tr>
        <w:tc>
          <w:tcPr>
            <w:tcW w:type="dxa" w:w="4320"/>
          </w:tcPr>
          <w:p>
            <w:r>
              <w:t>平均值</w:t>
            </w:r>
          </w:p>
        </w:tc>
        <w:tc>
          <w:tcPr>
            <w:tcW w:type="dxa" w:w="4320"/>
          </w:tcPr>
          <w:p>
            <w:r>
              <w:t>17.99 %</w:t>
            </w:r>
          </w:p>
        </w:tc>
      </w:tr>
      <w:tr>
        <w:tc>
          <w:tcPr>
            <w:tcW w:type="dxa" w:w="4320"/>
          </w:tcPr>
          <w:p>
            <w:r>
              <w:t>中位值</w:t>
            </w:r>
          </w:p>
        </w:tc>
        <w:tc>
          <w:tcPr>
            <w:tcW w:type="dxa" w:w="4320"/>
          </w:tcPr>
          <w:p>
            <w:r>
              <w:t>15.10 %</w:t>
            </w:r>
          </w:p>
        </w:tc>
      </w:tr>
      <w:tr>
        <w:tc>
          <w:tcPr>
            <w:tcW w:type="dxa" w:w="4320"/>
          </w:tcPr>
          <w:p>
            <w:r>
              <w:t>最小值</w:t>
            </w:r>
          </w:p>
        </w:tc>
        <w:tc>
          <w:tcPr>
            <w:tcW w:type="dxa" w:w="4320"/>
          </w:tcPr>
          <w:p>
            <w:r>
              <w:t>2.00 %</w:t>
            </w:r>
          </w:p>
        </w:tc>
      </w:tr>
      <w:tr>
        <w:tc>
          <w:tcPr>
            <w:tcW w:type="dxa" w:w="4320"/>
          </w:tcPr>
          <w:p>
            <w:r>
              <w:t>最大值</w:t>
            </w:r>
          </w:p>
        </w:tc>
        <w:tc>
          <w:tcPr>
            <w:tcW w:type="dxa" w:w="4320"/>
          </w:tcPr>
          <w:p>
            <w:r>
              <w:t>53.00 %</w:t>
            </w:r>
          </w:p>
        </w:tc>
      </w:tr>
    </w:tbl>
    <w:p/>
    <w:p>
      <w:pPr>
        <w:pStyle w:val="Heading2"/>
      </w:pPr>
      <w:r>
        <w:t>2.3 专家分析</w:t>
      </w:r>
    </w:p>
    <w:p>
      <w:r>
        <w:t>根据对a地区101个土壤样品的检测数据，该区域土壤粉粒（0.002-0.02 mm）含量平均值为17.99%，中位值为15.10%，整体处于中等偏低水平。数据分布范围较广（2.00%-53.00%），表明区域内土壤质地空间变异性显著。从等级分布来看，粉粒含量主要集中在“低”（&lt;20%）级别，占比超过半数，这与中位值低于平均值的结果一致，说明数据呈右偏分布，即大部分土壤粉粒含量较低，但存在少数点位含量较高，拉高了整体均值。这种分布特征通常与成土母质类型多样或局部水动力分选作用强烈有关。与全国土壤普查背景值相比，该地区平均粉粒含量显著低于全国多数农耕区土壤的平均水平，反映出其土壤砂性较强或粘粒含量相对较高，土壤质地整体偏轻或偏粘，这对土壤的保水保肥性能和耕作特性具有重要影响。</w:t>
      </w:r>
    </w:p>
    <w:p/>
    <w:p>
      <w:pPr>
        <w:pStyle w:val="Heading1"/>
      </w:pPr>
      <w:r>
        <w:t>三、等级分布分析</w:t>
      </w:r>
    </w:p>
    <w:p>
      <w:pPr>
        <w:pStyle w:val="Heading2"/>
      </w:pPr>
      <w:r>
        <w:t>3.1 等级统计表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等级</w:t>
            </w:r>
          </w:p>
        </w:tc>
        <w:tc>
          <w:tcPr>
            <w:tcW w:type="dxa" w:w="1440"/>
          </w:tcPr>
          <w:p>
            <w:r>
              <w:rPr>
                <w:b/>
              </w:rPr>
              <w:t>值域</w:t>
            </w:r>
          </w:p>
        </w:tc>
        <w:tc>
          <w:tcPr>
            <w:tcW w:type="dxa" w:w="1440"/>
          </w:tcPr>
          <w:p>
            <w:r>
              <w:rPr>
                <w:b/>
              </w:rPr>
              <w:t>样点数</w:t>
            </w:r>
          </w:p>
        </w:tc>
        <w:tc>
          <w:tcPr>
            <w:tcW w:type="dxa" w:w="1440"/>
          </w:tcPr>
          <w:p>
            <w:r>
              <w:rPr>
                <w:b/>
              </w:rPr>
              <w:t>样点占比</w:t>
            </w:r>
          </w:p>
        </w:tc>
        <w:tc>
          <w:tcPr>
            <w:tcW w:type="dxa" w:w="1440"/>
          </w:tcPr>
          <w:p>
            <w:r>
              <w:rPr>
                <w:b/>
              </w:rPr>
              <w:t>面积(亩)</w:t>
            </w:r>
          </w:p>
        </w:tc>
        <w:tc>
          <w:tcPr>
            <w:tcW w:type="dxa" w:w="1440"/>
          </w:tcPr>
          <w:p>
            <w:r>
              <w:rPr>
                <w:b/>
              </w:rPr>
              <w:t>面积占比</w:t>
            </w:r>
          </w:p>
        </w:tc>
      </w:tr>
      <w:tr>
        <w:tc>
          <w:tcPr>
            <w:tcW w:type="dxa" w:w="1440"/>
          </w:tcPr>
          <w:p>
            <w:r>
              <w:t>5级</w:t>
            </w:r>
          </w:p>
        </w:tc>
        <w:tc>
          <w:tcPr>
            <w:tcW w:type="dxa" w:w="1440"/>
          </w:tcPr>
          <w:p>
            <w:r>
              <w:t>≤15</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4级</w:t>
            </w:r>
          </w:p>
        </w:tc>
        <w:tc>
          <w:tcPr>
            <w:tcW w:type="dxa" w:w="1440"/>
          </w:tcPr>
          <w:p>
            <w:r>
              <w:t>15～25</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3级</w:t>
            </w:r>
          </w:p>
        </w:tc>
        <w:tc>
          <w:tcPr>
            <w:tcW w:type="dxa" w:w="1440"/>
          </w:tcPr>
          <w:p>
            <w:r>
              <w:t>25～45</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2级</w:t>
            </w:r>
          </w:p>
        </w:tc>
        <w:tc>
          <w:tcPr>
            <w:tcW w:type="dxa" w:w="1440"/>
          </w:tcPr>
          <w:p>
            <w:r>
              <w:t>45～65</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1级</w:t>
            </w:r>
          </w:p>
        </w:tc>
        <w:tc>
          <w:tcPr>
            <w:tcW w:type="dxa" w:w="1440"/>
          </w:tcPr>
          <w:p>
            <w:r>
              <w:t>65～100</w:t>
            </w:r>
          </w:p>
        </w:tc>
        <w:tc>
          <w:tcPr>
            <w:tcW w:type="dxa" w:w="1440"/>
          </w:tcPr>
          <w:p>
            <w:r>
              <w:t>0</w:t>
            </w:r>
          </w:p>
        </w:tc>
        <w:tc>
          <w:tcPr>
            <w:tcW w:type="dxa" w:w="1440"/>
          </w:tcPr>
          <w:p>
            <w:r>
              <w:t>0.0%</w:t>
            </w:r>
          </w:p>
        </w:tc>
        <w:tc>
          <w:tcPr>
            <w:tcW w:type="dxa" w:w="1440"/>
          </w:tcPr>
          <w:p>
            <w:r>
              <w:t>0.0</w:t>
            </w:r>
          </w:p>
        </w:tc>
        <w:tc>
          <w:tcPr>
            <w:tcW w:type="dxa" w:w="1440"/>
          </w:tcPr>
          <w:p>
            <w:r>
              <w:t>0.0%</w:t>
            </w:r>
          </w:p>
        </w:tc>
      </w:tr>
    </w:tbl>
    <w:p/>
    <w:p>
      <w:pPr>
        <w:pStyle w:val="Heading1"/>
      </w:pPr>
      <w:r>
        <w:t>四、乡镇分析</w:t>
      </w:r>
    </w:p>
    <w:p>
      <w:pPr>
        <w:pStyle w:val="Heading2"/>
      </w:pPr>
      <w:r>
        <w:t>4.1 乡镇均值对比</w:t>
      </w:r>
    </w:p>
    <w:p>
      <w:pPr>
        <w:jc w:val="center"/>
      </w:pPr>
      <w:r>
        <w:drawing>
          <wp:inline xmlns:a="http://schemas.openxmlformats.org/drawingml/2006/main" xmlns:pic="http://schemas.openxmlformats.org/drawingml/2006/picture">
            <wp:extent cx="5400000" cy="266218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2662185"/>
                    </a:xfrm>
                    <a:prstGeom prst="rect"/>
                  </pic:spPr>
                </pic:pic>
              </a:graphicData>
            </a:graphic>
          </wp:inline>
        </w:drawing>
      </w:r>
    </w:p>
    <w:p>
      <w:pPr>
        <w:jc w:val="center"/>
      </w:pPr>
      <w:r>
        <w:rPr>
          <w:i/>
          <w:sz w:val="20"/>
        </w:rPr>
        <w:t>图：各乡镇均值对比</w:t>
      </w:r>
    </w:p>
    <w:p/>
    <w:p>
      <w:pPr>
        <w:pStyle w:val="Heading2"/>
      </w:pPr>
      <w:r>
        <w:t>4.2 乡镇等级分布</w:t>
      </w:r>
    </w:p>
    <w:p>
      <w:pPr>
        <w:jc w:val="center"/>
      </w:pPr>
      <w:r>
        <w:drawing>
          <wp:inline xmlns:a="http://schemas.openxmlformats.org/drawingml/2006/main" xmlns:pic="http://schemas.openxmlformats.org/drawingml/2006/picture">
            <wp:extent cx="5400000" cy="227124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271245"/>
                    </a:xfrm>
                    <a:prstGeom prst="rect"/>
                  </pic:spPr>
                </pic:pic>
              </a:graphicData>
            </a:graphic>
          </wp:inline>
        </w:drawing>
      </w:r>
    </w:p>
    <w:p>
      <w:pPr>
        <w:jc w:val="center"/>
      </w:pPr>
      <w:r>
        <w:rPr>
          <w:i/>
          <w:sz w:val="20"/>
        </w:rPr>
        <w:t>图：各乡镇等级占比分布</w:t>
      </w:r>
    </w:p>
    <w:p/>
    <w:p>
      <w:pPr>
        <w:pStyle w:val="Heading1"/>
      </w:pPr>
      <w:r>
        <w:t>五、结论与建议</w:t>
      </w:r>
    </w:p>
    <w:p>
      <w:pPr>
        <w:pStyle w:val="Heading2"/>
      </w:pPr>
      <w:r>
        <w:t>5.1 分析结论</w:t>
      </w:r>
    </w:p>
    <w:p>
      <w:r>
        <w:t>该地区土壤粉粒含量处于中等水平，整体结构尚可。但需关注其含量接近中等范围下限，可能影响土壤的保水保肥能力，建议结合其他指标进一步评估其耕作适宜性。</w:t>
      </w:r>
    </w:p>
    <w:p>
      <w:pPr>
        <w:pStyle w:val="Heading2"/>
      </w:pPr>
      <w:r>
        <w:t>5.2 改良建议</w:t>
      </w:r>
    </w:p>
    <w:p>
      <w:r>
        <w:t>1. **增施有机物料**：鉴于粉粒含量适中（17.99%）且无低等级土壤，建议定期施用腐熟有机肥或秸秆还田，每年每亩施用2-3吨，以增强土壤团聚体稳定性，优化孔隙结构，提高保水保肥能力。</w:t>
        <w:br/>
        <w:t>2. **推行保护性耕作**：在耕作中尽量减少对土壤的过度翻动，采用少耕或免耕技术，配合地表覆盖（如作物残茬），可有效防止粉粒进一步细化或流失，维持良好的土壤质地。</w:t>
        <w:br/>
        <w:t>3. **优化灌溉方式**：避免大水漫灌，推广滴灌、微喷灌等节水灌溉技术，以减少水流对土壤表层的冲刷，防止粉粒随水迁移或造成板结，保持土壤通透性。</w:t>
      </w:r>
    </w:p>
    <w:p/>
    <w:p/>
    <w:p>
      <w:pPr>
        <w:jc w:val="right"/>
      </w:pPr>
      <w:r>
        <w:rPr>
          <w:i/>
          <w:sz w:val="18"/>
        </w:rPr>
        <w:t>生成时间: 2025-12-07 21:18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