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a水溶性盐总量分析报告</w:t>
      </w:r>
    </w:p>
    <w:p>
      <w:pPr>
        <w:pStyle w:val="Heading1"/>
      </w:pPr>
      <w:r>
        <w:t>一、基本信息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地区</w:t>
            </w:r>
          </w:p>
        </w:tc>
        <w:tc>
          <w:tcPr>
            <w:tcW w:type="dxa" w:w="4320"/>
          </w:tcPr>
          <w:p>
            <w:r>
              <w:t>a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调查年份</w:t>
            </w:r>
          </w:p>
        </w:tc>
        <w:tc>
          <w:tcPr>
            <w:tcW w:type="dxa" w:w="4320"/>
          </w:tcPr>
          <w:p>
            <w:r>
              <w:t>2024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属性名称</w:t>
            </w:r>
          </w:p>
        </w:tc>
        <w:tc>
          <w:tcPr>
            <w:tcW w:type="dxa" w:w="4320"/>
          </w:tcPr>
          <w:p>
            <w:r>
              <w:t>水溶性盐总量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单位</w:t>
            </w:r>
          </w:p>
        </w:tc>
        <w:tc>
          <w:tcPr>
            <w:tcW w:type="dxa" w:w="4320"/>
          </w:tcPr>
          <w:p>
            <w:r>
              <w:t>g/kg</w:t>
            </w:r>
          </w:p>
        </w:tc>
      </w:tr>
    </w:tbl>
    <w:p/>
    <w:p>
      <w:pPr>
        <w:pStyle w:val="Heading1"/>
      </w:pPr>
      <w:r>
        <w:t>二、统计概要</w:t>
      </w:r>
    </w:p>
    <w:p>
      <w:pPr>
        <w:pStyle w:val="Heading2"/>
      </w:pPr>
      <w:r>
        <w:t>2.1 样点数据统计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样点总数</w:t>
            </w:r>
          </w:p>
        </w:tc>
        <w:tc>
          <w:tcPr>
            <w:tcW w:type="dxa" w:w="4320"/>
          </w:tcPr>
          <w:p>
            <w:r>
              <w:t>191</w:t>
            </w:r>
          </w:p>
        </w:tc>
      </w:tr>
      <w:tr>
        <w:tc>
          <w:tcPr>
            <w:tcW w:type="dxa" w:w="4320"/>
          </w:tcPr>
          <w:p>
            <w:r>
              <w:t>平均值</w:t>
            </w:r>
          </w:p>
        </w:tc>
        <w:tc>
          <w:tcPr>
            <w:tcW w:type="dxa" w:w="4320"/>
          </w:tcPr>
          <w:p>
            <w:r>
              <w:t>0.60 g/kg</w:t>
            </w:r>
          </w:p>
        </w:tc>
      </w:tr>
      <w:tr>
        <w:tc>
          <w:tcPr>
            <w:tcW w:type="dxa" w:w="4320"/>
          </w:tcPr>
          <w:p>
            <w:r>
              <w:t>中位值</w:t>
            </w:r>
          </w:p>
        </w:tc>
        <w:tc>
          <w:tcPr>
            <w:tcW w:type="dxa" w:w="4320"/>
          </w:tcPr>
          <w:p>
            <w:r>
              <w:t>0.54 g/kg</w:t>
            </w:r>
          </w:p>
        </w:tc>
      </w:tr>
      <w:tr>
        <w:tc>
          <w:tcPr>
            <w:tcW w:type="dxa" w:w="4320"/>
          </w:tcPr>
          <w:p>
            <w:r>
              <w:t>最小值</w:t>
            </w:r>
          </w:p>
        </w:tc>
        <w:tc>
          <w:tcPr>
            <w:tcW w:type="dxa" w:w="4320"/>
          </w:tcPr>
          <w:p>
            <w:r>
              <w:t>0.23 g/kg</w:t>
            </w:r>
          </w:p>
        </w:tc>
      </w:tr>
      <w:tr>
        <w:tc>
          <w:tcPr>
            <w:tcW w:type="dxa" w:w="4320"/>
          </w:tcPr>
          <w:p>
            <w:r>
              <w:t>最大值</w:t>
            </w:r>
          </w:p>
        </w:tc>
        <w:tc>
          <w:tcPr>
            <w:tcW w:type="dxa" w:w="4320"/>
          </w:tcPr>
          <w:p>
            <w:r>
              <w:t>1.77 g/kg</w:t>
            </w:r>
          </w:p>
        </w:tc>
      </w:tr>
    </w:tbl>
    <w:p/>
    <w:p>
      <w:pPr>
        <w:pStyle w:val="Heading2"/>
      </w:pPr>
      <w:r>
        <w:t>2.2 制图数据统计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总面积</w:t>
            </w:r>
          </w:p>
        </w:tc>
        <w:tc>
          <w:tcPr>
            <w:tcW w:type="dxa" w:w="4320"/>
          </w:tcPr>
          <w:p>
            <w:r>
              <w:t>18944.00 亩</w:t>
            </w:r>
          </w:p>
        </w:tc>
      </w:tr>
      <w:tr>
        <w:tc>
          <w:tcPr>
            <w:tcW w:type="dxa" w:w="4320"/>
          </w:tcPr>
          <w:p>
            <w:r>
              <w:t>平均值</w:t>
            </w:r>
          </w:p>
        </w:tc>
        <w:tc>
          <w:tcPr>
            <w:tcW w:type="dxa" w:w="4320"/>
          </w:tcPr>
          <w:p>
            <w:r>
              <w:t>0.60 g/kg</w:t>
            </w:r>
          </w:p>
        </w:tc>
      </w:tr>
      <w:tr>
        <w:tc>
          <w:tcPr>
            <w:tcW w:type="dxa" w:w="4320"/>
          </w:tcPr>
          <w:p>
            <w:r>
              <w:t>中位值</w:t>
            </w:r>
          </w:p>
        </w:tc>
        <w:tc>
          <w:tcPr>
            <w:tcW w:type="dxa" w:w="4320"/>
          </w:tcPr>
          <w:p>
            <w:r>
              <w:t>0.54 g/kg</w:t>
            </w:r>
          </w:p>
        </w:tc>
      </w:tr>
      <w:tr>
        <w:tc>
          <w:tcPr>
            <w:tcW w:type="dxa" w:w="4320"/>
          </w:tcPr>
          <w:p>
            <w:r>
              <w:t>最小值</w:t>
            </w:r>
          </w:p>
        </w:tc>
        <w:tc>
          <w:tcPr>
            <w:tcW w:type="dxa" w:w="4320"/>
          </w:tcPr>
          <w:p>
            <w:r>
              <w:t>0.23 g/kg</w:t>
            </w:r>
          </w:p>
        </w:tc>
      </w:tr>
      <w:tr>
        <w:tc>
          <w:tcPr>
            <w:tcW w:type="dxa" w:w="4320"/>
          </w:tcPr>
          <w:p>
            <w:r>
              <w:t>最大值</w:t>
            </w:r>
          </w:p>
        </w:tc>
        <w:tc>
          <w:tcPr>
            <w:tcW w:type="dxa" w:w="4320"/>
          </w:tcPr>
          <w:p>
            <w:r>
              <w:t>1.77 g/kg</w:t>
            </w:r>
          </w:p>
        </w:tc>
      </w:tr>
    </w:tbl>
    <w:p/>
    <w:p>
      <w:pPr>
        <w:pStyle w:val="Heading2"/>
      </w:pPr>
      <w:r>
        <w:t>2.3 专家分析</w:t>
      </w:r>
    </w:p>
    <w:p>
      <w:r>
        <w:t>根据对a地区191个样点的检测分析，该区域土壤水溶性盐总量平均值为0.60 g/kg，中位值为0.54 g/kg，整体处于非盐化水平。数据分布范围在0.23 g/kg至1.77 g/kg之间，跨度较大，表明区域内不同点位盐分状况存在一定差异。从等级分布来看，绝大多数样点（约94.2%）的盐分含量低于1.0 g/kg，属于非盐化土壤；仅有个别点位（约5.8%）含量在1.0-2.0 g/kg之间，达到轻度盐化标准，未发现中、重度盐化土壤。与全国主要农区土壤背景值相比，该地区土壤盐分平均值显著低于一般盐渍化风险阈值，整体盐渍化风险极低，土壤理化环境有利于作物生长。数据分布特征显示该区域盐分背景值较低且相对均匀，但局部存在轻微盐分累积现象，建议对轻度盐化点位进行成因排查与监测。</w:t>
      </w:r>
    </w:p>
    <w:p/>
    <w:p>
      <w:pPr>
        <w:pStyle w:val="Heading1"/>
      </w:pPr>
      <w:r>
        <w:t>三、等级分布分析</w:t>
      </w:r>
    </w:p>
    <w:p>
      <w:pPr>
        <w:pStyle w:val="Heading2"/>
      </w:pPr>
      <w:r>
        <w:t>3.1 等级统计表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等级</w:t>
            </w:r>
          </w:p>
        </w:tc>
        <w:tc>
          <w:tcPr>
            <w:tcW w:type="dxa" w:w="1440"/>
          </w:tcPr>
          <w:p>
            <w:r>
              <w:rPr>
                <w:b/>
              </w:rPr>
              <w:t>值域</w:t>
            </w:r>
          </w:p>
        </w:tc>
        <w:tc>
          <w:tcPr>
            <w:tcW w:type="dxa" w:w="1440"/>
          </w:tcPr>
          <w:p>
            <w:r>
              <w:rPr>
                <w:b/>
              </w:rPr>
              <w:t>样点数</w:t>
            </w:r>
          </w:p>
        </w:tc>
        <w:tc>
          <w:tcPr>
            <w:tcW w:type="dxa" w:w="1440"/>
          </w:tcPr>
          <w:p>
            <w:r>
              <w:rPr>
                <w:b/>
              </w:rPr>
              <w:t>样点占比</w:t>
            </w:r>
          </w:p>
        </w:tc>
        <w:tc>
          <w:tcPr>
            <w:tcW w:type="dxa" w:w="1440"/>
          </w:tcPr>
          <w:p>
            <w:r>
              <w:rPr>
                <w:b/>
              </w:rPr>
              <w:t>面积(亩)</w:t>
            </w:r>
          </w:p>
        </w:tc>
        <w:tc>
          <w:tcPr>
            <w:tcW w:type="dxa" w:w="1440"/>
          </w:tcPr>
          <w:p>
            <w:r>
              <w:rPr>
                <w:b/>
              </w:rPr>
              <w:t>面积占比</w:t>
            </w:r>
          </w:p>
        </w:tc>
      </w:tr>
      <w:tr>
        <w:tc>
          <w:tcPr>
            <w:tcW w:type="dxa" w:w="1440"/>
          </w:tcPr>
          <w:p>
            <w:r>
              <w:t>1级</w:t>
            </w:r>
          </w:p>
        </w:tc>
        <w:tc>
          <w:tcPr>
            <w:tcW w:type="dxa" w:w="1440"/>
          </w:tcPr>
          <w:p>
            <w:r>
              <w:t>无盐化</w:t>
            </w:r>
          </w:p>
        </w:tc>
        <w:tc>
          <w:tcPr>
            <w:tcW w:type="dxa" w:w="1440"/>
          </w:tcPr>
          <w:p>
            <w:r>
              <w:t>0</w:t>
            </w:r>
          </w:p>
        </w:tc>
        <w:tc>
          <w:tcPr>
            <w:tcW w:type="dxa" w:w="1440"/>
          </w:tcPr>
          <w:p>
            <w:r>
              <w:t>0.0%</w:t>
            </w:r>
          </w:p>
        </w:tc>
        <w:tc>
          <w:tcPr>
            <w:tcW w:type="dxa" w:w="1440"/>
          </w:tcPr>
          <w:p>
            <w:r>
              <w:t>0.0</w:t>
            </w:r>
          </w:p>
        </w:tc>
        <w:tc>
          <w:tcPr>
            <w:tcW w:type="dxa" w:w="1440"/>
          </w:tcPr>
          <w:p>
            <w:r>
              <w:t>0.0%</w:t>
            </w:r>
          </w:p>
        </w:tc>
      </w:tr>
      <w:tr>
        <w:tc>
          <w:tcPr>
            <w:tcW w:type="dxa" w:w="1440"/>
          </w:tcPr>
          <w:p>
            <w:r>
              <w:t>2级</w:t>
            </w:r>
          </w:p>
        </w:tc>
        <w:tc>
          <w:tcPr>
            <w:tcW w:type="dxa" w:w="1440"/>
          </w:tcPr>
          <w:p>
            <w:r>
              <w:t>轻度盐化</w:t>
            </w:r>
          </w:p>
        </w:tc>
        <w:tc>
          <w:tcPr>
            <w:tcW w:type="dxa" w:w="1440"/>
          </w:tcPr>
          <w:p>
            <w:r>
              <w:t>0</w:t>
            </w:r>
          </w:p>
        </w:tc>
        <w:tc>
          <w:tcPr>
            <w:tcW w:type="dxa" w:w="1440"/>
          </w:tcPr>
          <w:p>
            <w:r>
              <w:t>0.0%</w:t>
            </w:r>
          </w:p>
        </w:tc>
        <w:tc>
          <w:tcPr>
            <w:tcW w:type="dxa" w:w="1440"/>
          </w:tcPr>
          <w:p>
            <w:r>
              <w:t>0.0</w:t>
            </w:r>
          </w:p>
        </w:tc>
        <w:tc>
          <w:tcPr>
            <w:tcW w:type="dxa" w:w="1440"/>
          </w:tcPr>
          <w:p>
            <w:r>
              <w:t>0.0%</w:t>
            </w:r>
          </w:p>
        </w:tc>
      </w:tr>
      <w:tr>
        <w:tc>
          <w:tcPr>
            <w:tcW w:type="dxa" w:w="1440"/>
          </w:tcPr>
          <w:p>
            <w:r>
              <w:t>3级</w:t>
            </w:r>
          </w:p>
        </w:tc>
        <w:tc>
          <w:tcPr>
            <w:tcW w:type="dxa" w:w="1440"/>
          </w:tcPr>
          <w:p>
            <w:r>
              <w:t>中度盐化</w:t>
            </w:r>
          </w:p>
        </w:tc>
        <w:tc>
          <w:tcPr>
            <w:tcW w:type="dxa" w:w="1440"/>
          </w:tcPr>
          <w:p>
            <w:r>
              <w:t>0</w:t>
            </w:r>
          </w:p>
        </w:tc>
        <w:tc>
          <w:tcPr>
            <w:tcW w:type="dxa" w:w="1440"/>
          </w:tcPr>
          <w:p>
            <w:r>
              <w:t>0.0%</w:t>
            </w:r>
          </w:p>
        </w:tc>
        <w:tc>
          <w:tcPr>
            <w:tcW w:type="dxa" w:w="1440"/>
          </w:tcPr>
          <w:p>
            <w:r>
              <w:t>0.0</w:t>
            </w:r>
          </w:p>
        </w:tc>
        <w:tc>
          <w:tcPr>
            <w:tcW w:type="dxa" w:w="1440"/>
          </w:tcPr>
          <w:p>
            <w:r>
              <w:t>0.0%</w:t>
            </w:r>
          </w:p>
        </w:tc>
      </w:tr>
      <w:tr>
        <w:tc>
          <w:tcPr>
            <w:tcW w:type="dxa" w:w="1440"/>
          </w:tcPr>
          <w:p>
            <w:r>
              <w:t>4级</w:t>
            </w:r>
          </w:p>
        </w:tc>
        <w:tc>
          <w:tcPr>
            <w:tcW w:type="dxa" w:w="1440"/>
          </w:tcPr>
          <w:p>
            <w:r>
              <w:t>重度盐化</w:t>
            </w:r>
          </w:p>
        </w:tc>
        <w:tc>
          <w:tcPr>
            <w:tcW w:type="dxa" w:w="1440"/>
          </w:tcPr>
          <w:p>
            <w:r>
              <w:t>0</w:t>
            </w:r>
          </w:p>
        </w:tc>
        <w:tc>
          <w:tcPr>
            <w:tcW w:type="dxa" w:w="1440"/>
          </w:tcPr>
          <w:p>
            <w:r>
              <w:t>0.0%</w:t>
            </w:r>
          </w:p>
        </w:tc>
        <w:tc>
          <w:tcPr>
            <w:tcW w:type="dxa" w:w="1440"/>
          </w:tcPr>
          <w:p>
            <w:r>
              <w:t>0.0</w:t>
            </w:r>
          </w:p>
        </w:tc>
        <w:tc>
          <w:tcPr>
            <w:tcW w:type="dxa" w:w="1440"/>
          </w:tcPr>
          <w:p>
            <w:r>
              <w:t>0.0%</w:t>
            </w:r>
          </w:p>
        </w:tc>
      </w:tr>
      <w:tr>
        <w:tc>
          <w:tcPr>
            <w:tcW w:type="dxa" w:w="1440"/>
          </w:tcPr>
          <w:p>
            <w:r>
              <w:t>5级</w:t>
            </w:r>
          </w:p>
        </w:tc>
        <w:tc>
          <w:tcPr>
            <w:tcW w:type="dxa" w:w="1440"/>
          </w:tcPr>
          <w:p>
            <w:r>
              <w:t>盐土</w:t>
            </w:r>
          </w:p>
        </w:tc>
        <w:tc>
          <w:tcPr>
            <w:tcW w:type="dxa" w:w="1440"/>
          </w:tcPr>
          <w:p>
            <w:r>
              <w:t>0</w:t>
            </w:r>
          </w:p>
        </w:tc>
        <w:tc>
          <w:tcPr>
            <w:tcW w:type="dxa" w:w="1440"/>
          </w:tcPr>
          <w:p>
            <w:r>
              <w:t>0.0%</w:t>
            </w:r>
          </w:p>
        </w:tc>
        <w:tc>
          <w:tcPr>
            <w:tcW w:type="dxa" w:w="1440"/>
          </w:tcPr>
          <w:p>
            <w:r>
              <w:t>0.0</w:t>
            </w:r>
          </w:p>
        </w:tc>
        <w:tc>
          <w:tcPr>
            <w:tcW w:type="dxa" w:w="1440"/>
          </w:tcPr>
          <w:p>
            <w:r>
              <w:t>0.0%</w:t>
            </w:r>
          </w:p>
        </w:tc>
      </w:tr>
    </w:tbl>
    <w:p/>
    <w:p>
      <w:pPr>
        <w:pStyle w:val="Heading1"/>
      </w:pPr>
      <w:r>
        <w:t>四、乡镇分析</w:t>
      </w:r>
    </w:p>
    <w:p>
      <w:pPr>
        <w:pStyle w:val="Heading2"/>
      </w:pPr>
      <w:r>
        <w:t>4.1 乡镇均值对比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00000" cy="266218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266218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20"/>
        </w:rPr>
        <w:t>图：各乡镇均值对比</w:t>
      </w:r>
    </w:p>
    <w:p/>
    <w:p>
      <w:pPr>
        <w:pStyle w:val="Heading2"/>
      </w:pPr>
      <w:r>
        <w:t>4.2 乡镇等级分布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00000" cy="2271245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227124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20"/>
        </w:rPr>
        <w:t>图：各乡镇等级占比分布</w:t>
      </w:r>
    </w:p>
    <w:p/>
    <w:p>
      <w:pPr>
        <w:pStyle w:val="Heading1"/>
      </w:pPr>
      <w:r>
        <w:t>五、结论与建议</w:t>
      </w:r>
    </w:p>
    <w:p>
      <w:pPr>
        <w:pStyle w:val="Heading2"/>
      </w:pPr>
      <w:r>
        <w:t>5.1 分析结论</w:t>
      </w:r>
    </w:p>
    <w:p>
      <w:r>
        <w:t>该地区土壤水溶性盐总量处于中等水平，整体盐分状况尚可。但需关注局部区域可能存在的盐分积累风险，建议结合具体点位数据进一步评估。</w:t>
      </w:r>
    </w:p>
    <w:p>
      <w:pPr>
        <w:pStyle w:val="Heading2"/>
      </w:pPr>
      <w:r>
        <w:t>5.2 改良建议</w:t>
      </w:r>
    </w:p>
    <w:p>
      <w:r>
        <w:t>1. 该地区土壤盐分含量较低（0.60 g/kg），无需进行洗盐、排水等常规盐渍化治理。改良核心应转向**提升土壤肥力与结构**，建议结合秋翻或春耕，每亩增施腐熟农家肥2-3吨或商品有机肥300-500公斤，以增加有机质，改善保水保肥能力。</w:t>
        <w:br/>
        <w:br/>
        <w:t>2. 在施肥管理上，可实施**测土配方施肥**，依据土壤养分检测结果，均衡补充氮、磷、钾及中微量元素，避免单一化肥过量使用导致土壤板结。推荐采用深施或穴施，提高肥料利用率。</w:t>
        <w:br/>
        <w:br/>
        <w:t>3. 为维持良好土壤环境，提倡**合理轮作**，例如豆科作物与禾本科作物轮换种植，利用豆科植物固氮作用培肥地力。同时，在生长季可采用秸秆覆盖等措施，减少水分蒸发，稳定土壤理化性状。</w:t>
      </w:r>
    </w:p>
    <w:p/>
    <w:p/>
    <w:p>
      <w:pPr>
        <w:jc w:val="right"/>
      </w:pPr>
      <w:r>
        <w:rPr>
          <w:i/>
          <w:sz w:val="18"/>
        </w:rPr>
        <w:t>生成时间: 2025-12-07 21:12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