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a电导率分析报告</w:t>
      </w:r>
    </w:p>
    <w:p>
      <w:pPr>
        <w:pStyle w:val="Heading1"/>
      </w:pPr>
      <w:r>
        <w:t>一、基本信息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地区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调查年份</w:t>
            </w:r>
          </w:p>
        </w:tc>
        <w:tc>
          <w:tcPr>
            <w:tcW w:type="dxa" w:w="4320"/>
          </w:tcPr>
          <w:p>
            <w:r>
              <w:t>2024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属性名称</w:t>
            </w:r>
          </w:p>
        </w:tc>
        <w:tc>
          <w:tcPr>
            <w:tcW w:type="dxa" w:w="4320"/>
          </w:tcPr>
          <w:p>
            <w:r>
              <w:t>电导率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单位</w:t>
            </w:r>
          </w:p>
        </w:tc>
        <w:tc>
          <w:tcPr>
            <w:tcW w:type="dxa" w:w="4320"/>
          </w:tcPr>
          <w:p>
            <w:r>
              <w:t>mS/cm</w:t>
            </w:r>
          </w:p>
        </w:tc>
      </w:tr>
    </w:tbl>
    <w:p/>
    <w:p>
      <w:pPr>
        <w:pStyle w:val="Heading1"/>
      </w:pPr>
      <w:r>
        <w:t>二、统计概要</w:t>
      </w:r>
    </w:p>
    <w:p>
      <w:pPr>
        <w:pStyle w:val="Heading2"/>
      </w:pPr>
      <w:r>
        <w:t>2.1 样点数据统计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样点总数</w:t>
            </w:r>
          </w:p>
        </w:tc>
        <w:tc>
          <w:tcPr>
            <w:tcW w:type="dxa" w:w="4320"/>
          </w:tcPr>
          <w:p>
            <w:r>
              <w:t>191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>0.14 mS/cm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>0.13 mS/cm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>0.04 mS/cm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>0.45 mS/cm</w:t>
            </w:r>
          </w:p>
        </w:tc>
      </w:tr>
    </w:tbl>
    <w:p/>
    <w:p>
      <w:pPr>
        <w:pStyle w:val="Heading2"/>
      </w:pPr>
      <w:r>
        <w:t>2.2 制图数据统计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总面积</w:t>
            </w:r>
          </w:p>
        </w:tc>
        <w:tc>
          <w:tcPr>
            <w:tcW w:type="dxa" w:w="4320"/>
          </w:tcPr>
          <w:p>
            <w:r>
              <w:t>18944.00 亩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>0.14 mS/cm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>0.13 mS/cm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>0.04 mS/cm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>0.45 mS/cm</w:t>
            </w:r>
          </w:p>
        </w:tc>
      </w:tr>
    </w:tbl>
    <w:p/>
    <w:p>
      <w:pPr>
        <w:pStyle w:val="Heading2"/>
      </w:pPr>
      <w:r>
        <w:t>2.3 专家分析</w:t>
      </w:r>
    </w:p>
    <w:p>
      <w:r>
        <w:t>根据对a地区191个样点的土壤电导率检测数据进行分析，该区域土壤整体处于极低的盐分水平。数据显示，土壤电导率平均值为0.14 mS/cm，中位值为0.13 mS/cm，两者数值接近，表明数据分布较为集中。电导率变化范围在0.04至0.45 mS/cm之间，跨度较小，进一步印证了土壤盐分状况的高度均质性。从等级分布来看，超过99%的样点（190个）电导率低于0.8 mS/cm，属于非盐渍化土壤；仅有一个样点（0.5%）处于轻度盐渍化边缘（0.45 mS/cm）。这一电导率水平显著低于我国许多灌区及干旱半干旱地区的常见值，表明该地区土壤基本不存在盐分胁迫风险，理化环境非常有利于大多数作物生长，但同时也提示土壤中可溶性离子含量极低，可能需要注意土壤基础肥力的维持与补充。</w:t>
      </w:r>
    </w:p>
    <w:p/>
    <w:p>
      <w:pPr>
        <w:pStyle w:val="Heading1"/>
      </w:pPr>
      <w:r>
        <w:t>三、等级分布分析</w:t>
      </w:r>
    </w:p>
    <w:p>
      <w:pPr>
        <w:pStyle w:val="Heading2"/>
      </w:pPr>
      <w:r>
        <w:t>3.1 等级统计表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值域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样点占比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面积(亩)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面积占比</w:t>
            </w:r>
          </w:p>
        </w:tc>
      </w:tr>
      <w:tr>
        <w:tc>
          <w:tcPr>
            <w:tcW w:type="dxa" w:w="1440"/>
          </w:tcPr>
          <w:p>
            <w:r>
              <w:t>1级</w:t>
            </w:r>
          </w:p>
        </w:tc>
        <w:tc>
          <w:tcPr>
            <w:tcW w:type="dxa" w:w="1440"/>
          </w:tcPr>
          <w:p>
            <w:r>
              <w:t>低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2级</w:t>
            </w:r>
          </w:p>
        </w:tc>
        <w:tc>
          <w:tcPr>
            <w:tcW w:type="dxa" w:w="1440"/>
          </w:tcPr>
          <w:p>
            <w:r>
              <w:t>较低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3级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4级</w:t>
            </w:r>
          </w:p>
        </w:tc>
        <w:tc>
          <w:tcPr>
            <w:tcW w:type="dxa" w:w="1440"/>
          </w:tcPr>
          <w:p>
            <w:r>
              <w:t>较高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5级</w:t>
            </w:r>
          </w:p>
        </w:tc>
        <w:tc>
          <w:tcPr>
            <w:tcW w:type="dxa" w:w="1440"/>
          </w:tcPr>
          <w:p>
            <w:r>
              <w:t>高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</w:tbl>
    <w:p/>
    <w:p>
      <w:pPr>
        <w:pStyle w:val="Heading1"/>
      </w:pPr>
      <w:r>
        <w:t>四、乡镇分析</w:t>
      </w:r>
    </w:p>
    <w:p>
      <w:pPr>
        <w:pStyle w:val="Heading2"/>
      </w:pPr>
      <w:r>
        <w:t>4.1 乡镇均值对比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621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2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图：各乡镇均值对比</w:t>
      </w:r>
    </w:p>
    <w:p/>
    <w:p>
      <w:pPr>
        <w:pStyle w:val="Heading2"/>
      </w:pPr>
      <w:r>
        <w:t>4.2 乡镇等级分布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712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71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图：各乡镇等级占比分布</w:t>
      </w:r>
    </w:p>
    <w:p/>
    <w:p>
      <w:pPr>
        <w:pStyle w:val="Heading1"/>
      </w:pPr>
      <w:r>
        <w:t>五、结论与建议</w:t>
      </w:r>
    </w:p>
    <w:p>
      <w:pPr>
        <w:pStyle w:val="Heading2"/>
      </w:pPr>
      <w:r>
        <w:t>5.1 分析结论</w:t>
      </w:r>
    </w:p>
    <w:p>
      <w:r>
        <w:t>该地区土壤电导率整体处于中等水平，表明土壤盐分含量适中。目前无需特别关注盐渍化风险，但建议在灌溉管理中注意维持现状，避免盐分累积。</w:t>
      </w:r>
    </w:p>
    <w:p>
      <w:pPr>
        <w:pStyle w:val="Heading2"/>
      </w:pPr>
      <w:r>
        <w:t>5.2 改良建议</w:t>
      </w:r>
    </w:p>
    <w:p>
      <w:r>
        <w:t>根据a地区电导率数据（平均值0.14 mS/cm，无低盐分土壤），表明土壤盐分含量极低，保水保肥能力弱。改良核心是提升土壤阳离子交换能力与保墒性。</w:t>
        <w:br/>
        <w:br/>
        <w:t>1.  **增施有机肥**：每年每亩增施腐熟农家肥2-3吨或商品有机肥300-500公斤，持续提升土壤有机质，增强保肥性。</w:t>
        <w:br/>
        <w:t>2.  **推行秸秆还田**：作物收获后，将秸秆粉碎后直接翻压还田，增加土壤腐殖质，改善结构。</w:t>
        <w:br/>
        <w:t>3.  **合理灌溉与覆盖**：采用滴灌等节水灌溉，避免养分淋失；在旱季采用地膜或秸秆覆盖，减少水分蒸发。</w:t>
      </w:r>
    </w:p>
    <w:p/>
    <w:p/>
    <w:p>
      <w:pPr>
        <w:jc w:val="right"/>
      </w:pPr>
      <w:r>
        <w:rPr>
          <w:i/>
          <w:sz w:val="18"/>
        </w:rPr>
        <w:t>生成时间: 2025-12-07 21:12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