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a缓效钾分析报告</w:t>
      </w:r>
    </w:p>
    <w:p>
      <w:pPr>
        <w:pStyle w:val="Heading1"/>
      </w:pPr>
      <w:r>
        <w:t>一、基本信息</w:t>
      </w:r>
    </w:p>
    <w:tbl>
      <w:tblPr>
        <w:tblStyle w:val="TableGrid"/>
        <w:tblW w:type="auto" w:w="0"/>
        <w:tblLook w:firstColumn="1" w:firstRow="1" w:lastColumn="0" w:lastRow="0" w:noHBand="0" w:noVBand="1" w:val="04A0"/>
      </w:tblPr>
      <w:tblGrid>
        <w:gridCol w:w="4320"/>
        <w:gridCol w:w="4320"/>
      </w:tblGrid>
      <w:tr>
        <w:tc>
          <w:tcPr>
            <w:tcW w:type="dxa" w:w="4320"/>
          </w:tcPr>
          <w:p>
            <w:r>
              <w:rPr>
                <w:b/>
              </w:rPr>
              <w:t>地区</w:t>
            </w:r>
          </w:p>
        </w:tc>
        <w:tc>
          <w:tcPr>
            <w:tcW w:type="dxa" w:w="4320"/>
          </w:tcPr>
          <w:p>
            <w:r>
              <w:t>a</w:t>
            </w:r>
          </w:p>
        </w:tc>
      </w:tr>
      <w:tr>
        <w:tc>
          <w:tcPr>
            <w:tcW w:type="dxa" w:w="4320"/>
          </w:tcPr>
          <w:p>
            <w:r>
              <w:rPr>
                <w:b/>
              </w:rPr>
              <w:t>调查年份</w:t>
            </w:r>
          </w:p>
        </w:tc>
        <w:tc>
          <w:tcPr>
            <w:tcW w:type="dxa" w:w="4320"/>
          </w:tcPr>
          <w:p>
            <w:r>
              <w:t>2024</w:t>
            </w:r>
          </w:p>
        </w:tc>
      </w:tr>
      <w:tr>
        <w:tc>
          <w:tcPr>
            <w:tcW w:type="dxa" w:w="4320"/>
          </w:tcPr>
          <w:p>
            <w:r>
              <w:rPr>
                <w:b/>
              </w:rPr>
              <w:t>属性名称</w:t>
            </w:r>
          </w:p>
        </w:tc>
        <w:tc>
          <w:tcPr>
            <w:tcW w:type="dxa" w:w="4320"/>
          </w:tcPr>
          <w:p>
            <w:r>
              <w:t>缓效钾</w:t>
            </w:r>
          </w:p>
        </w:tc>
      </w:tr>
      <w:tr>
        <w:tc>
          <w:tcPr>
            <w:tcW w:type="dxa" w:w="4320"/>
          </w:tcPr>
          <w:p>
            <w:r>
              <w:rPr>
                <w:b/>
              </w:rPr>
              <w:t>单位</w:t>
            </w:r>
          </w:p>
        </w:tc>
        <w:tc>
          <w:tcPr>
            <w:tcW w:type="dxa" w:w="4320"/>
          </w:tcPr>
          <w:p>
            <w:r>
              <w:t>mg/kg</w:t>
            </w:r>
          </w:p>
        </w:tc>
      </w:tr>
    </w:tbl>
    <w:p/>
    <w:p>
      <w:pPr>
        <w:pStyle w:val="Heading1"/>
      </w:pPr>
      <w:r>
        <w:t>二、统计概要</w:t>
      </w:r>
    </w:p>
    <w:p>
      <w:pPr>
        <w:pStyle w:val="Heading2"/>
      </w:pPr>
      <w:r>
        <w:t>2.1 样点数据统计</w:t>
      </w:r>
    </w:p>
    <w:tbl>
      <w:tblPr>
        <w:tblStyle w:val="TableGrid"/>
        <w:tblW w:type="auto" w:w="0"/>
        <w:tblLook w:firstColumn="1" w:firstRow="1" w:lastColumn="0" w:lastRow="0" w:noHBand="0" w:noVBand="1" w:val="04A0"/>
      </w:tblPr>
      <w:tblGrid>
        <w:gridCol w:w="4320"/>
        <w:gridCol w:w="4320"/>
      </w:tblGrid>
      <w:tr>
        <w:tc>
          <w:tcPr>
            <w:tcW w:type="dxa" w:w="4320"/>
          </w:tcPr>
          <w:p>
            <w:r>
              <w:t>样点总数</w:t>
            </w:r>
          </w:p>
        </w:tc>
        <w:tc>
          <w:tcPr>
            <w:tcW w:type="dxa" w:w="4320"/>
          </w:tcPr>
          <w:p>
            <w:r>
              <w:t>192</w:t>
            </w:r>
          </w:p>
        </w:tc>
      </w:tr>
      <w:tr>
        <w:tc>
          <w:tcPr>
            <w:tcW w:type="dxa" w:w="4320"/>
          </w:tcPr>
          <w:p>
            <w:r>
              <w:t>平均值</w:t>
            </w:r>
          </w:p>
        </w:tc>
        <w:tc>
          <w:tcPr>
            <w:tcW w:type="dxa" w:w="4320"/>
          </w:tcPr>
          <w:p>
            <w:r>
              <w:t>758.78 mg/kg</w:t>
            </w:r>
          </w:p>
        </w:tc>
      </w:tr>
      <w:tr>
        <w:tc>
          <w:tcPr>
            <w:tcW w:type="dxa" w:w="4320"/>
          </w:tcPr>
          <w:p>
            <w:r>
              <w:t>中位值</w:t>
            </w:r>
          </w:p>
        </w:tc>
        <w:tc>
          <w:tcPr>
            <w:tcW w:type="dxa" w:w="4320"/>
          </w:tcPr>
          <w:p>
            <w:r>
              <w:t>763.50 mg/kg</w:t>
            </w:r>
          </w:p>
        </w:tc>
      </w:tr>
      <w:tr>
        <w:tc>
          <w:tcPr>
            <w:tcW w:type="dxa" w:w="4320"/>
          </w:tcPr>
          <w:p>
            <w:r>
              <w:t>最小值</w:t>
            </w:r>
          </w:p>
        </w:tc>
        <w:tc>
          <w:tcPr>
            <w:tcW w:type="dxa" w:w="4320"/>
          </w:tcPr>
          <w:p>
            <w:r>
              <w:t>296.00 mg/kg</w:t>
            </w:r>
          </w:p>
        </w:tc>
      </w:tr>
      <w:tr>
        <w:tc>
          <w:tcPr>
            <w:tcW w:type="dxa" w:w="4320"/>
          </w:tcPr>
          <w:p>
            <w:r>
              <w:t>最大值</w:t>
            </w:r>
          </w:p>
        </w:tc>
        <w:tc>
          <w:tcPr>
            <w:tcW w:type="dxa" w:w="4320"/>
          </w:tcPr>
          <w:p>
            <w:r>
              <w:t>1346.00 mg/kg</w:t>
            </w:r>
          </w:p>
        </w:tc>
      </w:tr>
    </w:tbl>
    <w:p/>
    <w:p>
      <w:pPr>
        <w:pStyle w:val="Heading2"/>
      </w:pPr>
      <w:r>
        <w:t>2.2 制图数据统计</w:t>
      </w:r>
    </w:p>
    <w:tbl>
      <w:tblPr>
        <w:tblStyle w:val="TableGrid"/>
        <w:tblW w:type="auto" w:w="0"/>
        <w:tblLook w:firstColumn="1" w:firstRow="1" w:lastColumn="0" w:lastRow="0" w:noHBand="0" w:noVBand="1" w:val="04A0"/>
      </w:tblPr>
      <w:tblGrid>
        <w:gridCol w:w="4320"/>
        <w:gridCol w:w="4320"/>
      </w:tblGrid>
      <w:tr>
        <w:tc>
          <w:tcPr>
            <w:tcW w:type="dxa" w:w="4320"/>
          </w:tcPr>
          <w:p>
            <w:r>
              <w:t>总面积</w:t>
            </w:r>
          </w:p>
        </w:tc>
        <w:tc>
          <w:tcPr>
            <w:tcW w:type="dxa" w:w="4320"/>
          </w:tcPr>
          <w:p>
            <w:r>
              <w:t>19042.00 亩</w:t>
            </w:r>
          </w:p>
        </w:tc>
      </w:tr>
      <w:tr>
        <w:tc>
          <w:tcPr>
            <w:tcW w:type="dxa" w:w="4320"/>
          </w:tcPr>
          <w:p>
            <w:r>
              <w:t>平均值</w:t>
            </w:r>
          </w:p>
        </w:tc>
        <w:tc>
          <w:tcPr>
            <w:tcW w:type="dxa" w:w="4320"/>
          </w:tcPr>
          <w:p>
            <w:r>
              <w:t>758.78 mg/kg</w:t>
            </w:r>
          </w:p>
        </w:tc>
      </w:tr>
      <w:tr>
        <w:tc>
          <w:tcPr>
            <w:tcW w:type="dxa" w:w="4320"/>
          </w:tcPr>
          <w:p>
            <w:r>
              <w:t>中位值</w:t>
            </w:r>
          </w:p>
        </w:tc>
        <w:tc>
          <w:tcPr>
            <w:tcW w:type="dxa" w:w="4320"/>
          </w:tcPr>
          <w:p>
            <w:r>
              <w:t>763.50 mg/kg</w:t>
            </w:r>
          </w:p>
        </w:tc>
      </w:tr>
      <w:tr>
        <w:tc>
          <w:tcPr>
            <w:tcW w:type="dxa" w:w="4320"/>
          </w:tcPr>
          <w:p>
            <w:r>
              <w:t>最小值</w:t>
            </w:r>
          </w:p>
        </w:tc>
        <w:tc>
          <w:tcPr>
            <w:tcW w:type="dxa" w:w="4320"/>
          </w:tcPr>
          <w:p>
            <w:r>
              <w:t>296.00 mg/kg</w:t>
            </w:r>
          </w:p>
        </w:tc>
      </w:tr>
      <w:tr>
        <w:tc>
          <w:tcPr>
            <w:tcW w:type="dxa" w:w="4320"/>
          </w:tcPr>
          <w:p>
            <w:r>
              <w:t>最大值</w:t>
            </w:r>
          </w:p>
        </w:tc>
        <w:tc>
          <w:tcPr>
            <w:tcW w:type="dxa" w:w="4320"/>
          </w:tcPr>
          <w:p>
            <w:r>
              <w:t>1346.00 mg/kg</w:t>
            </w:r>
          </w:p>
        </w:tc>
      </w:tr>
    </w:tbl>
    <w:p/>
    <w:p>
      <w:pPr>
        <w:pStyle w:val="Heading2"/>
      </w:pPr>
      <w:r>
        <w:t>2.3 专家分析</w:t>
      </w:r>
    </w:p>
    <w:p>
      <w:r>
        <w:t>根据对a地区192个土壤样点的检测结果分析，该区域土壤缓效钾含量整体处于较高水平。其平均值为758.78 mg/kg，中位值为763.50 mg/kg，两者数值接近，表明数据分布较为集中。含量范围在296.00至1346.00 mg/kg之间，跨度较大，显示出区域内不同点位间缓效钾储备存在一定差异。</w:t>
        <w:br/>
        <w:br/>
        <w:t>从等级分布来看，绝大部分样点（占比超过95%）的缓效钾含量处于“丰富”及以上等级，其中“极丰富”等级占比最高，这反映出该地区土壤钾库的供应潜力总体非常充足。与全国耕地土壤缓效钾普遍处于中等水平的背景相比，a地区土壤的钾素潜在供应能力显著偏高。这种丰富的缓效钾储备有利于在较长时间内稳定地向作物提供有效钾，对维持土壤肥力和保障农业生产具有积极意义。</w:t>
      </w:r>
    </w:p>
    <w:p/>
    <w:p>
      <w:pPr>
        <w:pStyle w:val="Heading1"/>
      </w:pPr>
      <w:r>
        <w:t>三、等级分布分析</w:t>
      </w:r>
    </w:p>
    <w:p>
      <w:pPr>
        <w:pStyle w:val="Heading2"/>
      </w:pPr>
      <w:r>
        <w:t>3.1 等级统计表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等级</w:t>
            </w:r>
          </w:p>
        </w:tc>
        <w:tc>
          <w:tcPr>
            <w:tcW w:type="dxa" w:w="1440"/>
          </w:tcPr>
          <w:p>
            <w:r>
              <w:rPr>
                <w:b/>
              </w:rPr>
              <w:t>值域</w:t>
            </w:r>
          </w:p>
        </w:tc>
        <w:tc>
          <w:tcPr>
            <w:tcW w:type="dxa" w:w="1440"/>
          </w:tcPr>
          <w:p>
            <w:r>
              <w:rPr>
                <w:b/>
              </w:rPr>
              <w:t>样点数</w:t>
            </w:r>
          </w:p>
        </w:tc>
        <w:tc>
          <w:tcPr>
            <w:tcW w:type="dxa" w:w="1440"/>
          </w:tcPr>
          <w:p>
            <w:r>
              <w:rPr>
                <w:b/>
              </w:rPr>
              <w:t>样点占比</w:t>
            </w:r>
          </w:p>
        </w:tc>
        <w:tc>
          <w:tcPr>
            <w:tcW w:type="dxa" w:w="1440"/>
          </w:tcPr>
          <w:p>
            <w:r>
              <w:rPr>
                <w:b/>
              </w:rPr>
              <w:t>面积(亩)</w:t>
            </w:r>
          </w:p>
        </w:tc>
        <w:tc>
          <w:tcPr>
            <w:tcW w:type="dxa" w:w="1440"/>
          </w:tcPr>
          <w:p>
            <w:r>
              <w:rPr>
                <w:b/>
              </w:rPr>
              <w:t>面积占比</w:t>
            </w:r>
          </w:p>
        </w:tc>
      </w:tr>
      <w:tr>
        <w:tc>
          <w:tcPr>
            <w:tcW w:type="dxa" w:w="1440"/>
          </w:tcPr>
          <w:p>
            <w:r>
              <w:t>5级</w:t>
            </w:r>
          </w:p>
        </w:tc>
        <w:tc>
          <w:tcPr>
            <w:tcW w:type="dxa" w:w="1440"/>
          </w:tcPr>
          <w:p>
            <w:r>
              <w:t>极缺</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4级</w:t>
            </w:r>
          </w:p>
        </w:tc>
        <w:tc>
          <w:tcPr>
            <w:tcW w:type="dxa" w:w="1440"/>
          </w:tcPr>
          <w:p>
            <w:r>
              <w:t>缺乏</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3级</w:t>
            </w:r>
          </w:p>
        </w:tc>
        <w:tc>
          <w:tcPr>
            <w:tcW w:type="dxa" w:w="1440"/>
          </w:tcPr>
          <w:p>
            <w:r>
              <w:t>中等</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2级</w:t>
            </w:r>
          </w:p>
        </w:tc>
        <w:tc>
          <w:tcPr>
            <w:tcW w:type="dxa" w:w="1440"/>
          </w:tcPr>
          <w:p>
            <w:r>
              <w:t>较丰富</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1级</w:t>
            </w:r>
          </w:p>
        </w:tc>
        <w:tc>
          <w:tcPr>
            <w:tcW w:type="dxa" w:w="1440"/>
          </w:tcPr>
          <w:p>
            <w:r>
              <w:t>丰富</w:t>
            </w:r>
          </w:p>
        </w:tc>
        <w:tc>
          <w:tcPr>
            <w:tcW w:type="dxa" w:w="1440"/>
          </w:tcPr>
          <w:p>
            <w:r>
              <w:t>0</w:t>
            </w:r>
          </w:p>
        </w:tc>
        <w:tc>
          <w:tcPr>
            <w:tcW w:type="dxa" w:w="1440"/>
          </w:tcPr>
          <w:p>
            <w:r>
              <w:t>0.0%</w:t>
            </w:r>
          </w:p>
        </w:tc>
        <w:tc>
          <w:tcPr>
            <w:tcW w:type="dxa" w:w="1440"/>
          </w:tcPr>
          <w:p>
            <w:r>
              <w:t>0.0</w:t>
            </w:r>
          </w:p>
        </w:tc>
        <w:tc>
          <w:tcPr>
            <w:tcW w:type="dxa" w:w="1440"/>
          </w:tcPr>
          <w:p>
            <w:r>
              <w:t>0.0%</w:t>
            </w:r>
          </w:p>
        </w:tc>
      </w:tr>
    </w:tbl>
    <w:p/>
    <w:p>
      <w:pPr>
        <w:pStyle w:val="Heading1"/>
      </w:pPr>
      <w:r>
        <w:t>四、乡镇分析</w:t>
      </w:r>
    </w:p>
    <w:p>
      <w:pPr>
        <w:pStyle w:val="Heading2"/>
      </w:pPr>
      <w:r>
        <w:t>4.1 乡镇均值对比</w:t>
      </w:r>
    </w:p>
    <w:p>
      <w:pPr>
        <w:jc w:val="center"/>
      </w:pPr>
      <w:r>
        <w:drawing>
          <wp:inline xmlns:a="http://schemas.openxmlformats.org/drawingml/2006/main" xmlns:pic="http://schemas.openxmlformats.org/drawingml/2006/picture">
            <wp:extent cx="5400000" cy="266218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2662185"/>
                    </a:xfrm>
                    <a:prstGeom prst="rect"/>
                  </pic:spPr>
                </pic:pic>
              </a:graphicData>
            </a:graphic>
          </wp:inline>
        </w:drawing>
      </w:r>
    </w:p>
    <w:p>
      <w:pPr>
        <w:jc w:val="center"/>
      </w:pPr>
      <w:r>
        <w:rPr>
          <w:i/>
          <w:sz w:val="20"/>
        </w:rPr>
        <w:t>图：各乡镇均值对比</w:t>
      </w:r>
    </w:p>
    <w:p/>
    <w:p>
      <w:pPr>
        <w:pStyle w:val="Heading2"/>
      </w:pPr>
      <w:r>
        <w:t>4.2 乡镇等级分布</w:t>
      </w:r>
    </w:p>
    <w:p>
      <w:pPr>
        <w:jc w:val="center"/>
      </w:pPr>
      <w:r>
        <w:drawing>
          <wp:inline xmlns:a="http://schemas.openxmlformats.org/drawingml/2006/main" xmlns:pic="http://schemas.openxmlformats.org/drawingml/2006/picture">
            <wp:extent cx="5400000" cy="227124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271245"/>
                    </a:xfrm>
                    <a:prstGeom prst="rect"/>
                  </pic:spPr>
                </pic:pic>
              </a:graphicData>
            </a:graphic>
          </wp:inline>
        </w:drawing>
      </w:r>
    </w:p>
    <w:p>
      <w:pPr>
        <w:jc w:val="center"/>
      </w:pPr>
      <w:r>
        <w:rPr>
          <w:i/>
          <w:sz w:val="20"/>
        </w:rPr>
        <w:t>图：各乡镇等级占比分布</w:t>
      </w:r>
    </w:p>
    <w:p/>
    <w:p>
      <w:pPr>
        <w:pStyle w:val="Heading1"/>
      </w:pPr>
      <w:r>
        <w:t>五、结论与建议</w:t>
      </w:r>
    </w:p>
    <w:p>
      <w:pPr>
        <w:pStyle w:val="Heading2"/>
      </w:pPr>
      <w:r>
        <w:t>5.1 分析结论</w:t>
      </w:r>
    </w:p>
    <w:p>
      <w:r>
        <w:t>该地区土壤缓效钾整体处于中等水平，平均含量为758.78 mg/kg，能够满足多数作物生长需求。建议关注部分地块可能存在的钾素供应不均衡问题，以维持土壤肥力稳定。</w:t>
      </w:r>
    </w:p>
    <w:p>
      <w:pPr>
        <w:pStyle w:val="Heading2"/>
      </w:pPr>
      <w:r>
        <w:t>5.2 改良建议</w:t>
      </w:r>
    </w:p>
    <w:p>
      <w:r>
        <w:t>1. 维持现有钾素水平：鉴于缓效钾含量丰富（758.78 mg/kg）且无低等级土壤，无需专门增施钾肥。应避免盲目施用钾肥造成浪费和潜在盐分累积。</w:t>
        <w:br/>
        <w:t>2. 优化施肥策略：在制定作物施肥方案时，可适当降低钾肥的配比与投入，将肥料成本更多地分配至氮、磷或中微量元素上，实现养分平衡供应。</w:t>
        <w:br/>
        <w:t>3. 注重有机质管理：通过增施有机肥、推行秸秆还田等措施，维持并提升土壤有机质含量，这有助于持续稳定缓效钾的供应能力，并改善土壤整体肥力结构。</w:t>
      </w:r>
    </w:p>
    <w:p/>
    <w:p/>
    <w:p>
      <w:pPr>
        <w:jc w:val="right"/>
      </w:pPr>
      <w:r>
        <w:rPr>
          <w:i/>
          <w:sz w:val="18"/>
        </w:rPr>
        <w:t>生成时间: 2025-12-07 21:14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