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a阳离子交换量分析报告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阳离子交换量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cmol(+)/kg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10.23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9.57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3.52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24.40 cmol(+)/kg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10.23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9.57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3.52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24.40 cmol(+)/kg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根据对a地区199个土壤样点的检测分析，该区域土壤阳离子交换量（CEC）平均值为10.23 cmol(+)/kg，中位值为9.57 cmol(+)/kg，整体处于中等水平。数据分布范围较广，从3.52 cmol(+)/kg到24.40 cmol(+)/kg，显示出区域内土壤保肥供肥能力存在显著的空间异质性。从等级分布来看，土壤以中等（10-20 cmol(+)/kg）和较低（5-10 cmol(+)/kg）等级为主，合计占比超过85%，其中中等等级土壤占比最高，达47.74%。同时，存在少量保肥能力极低（&lt;5 cmol(+)/kg，占5.03%）和较高（&gt;20 cmol(+)/kg，占7.04%）的土壤类型。该平均值略低于全国耕地土壤CEC常见范围（通常认为10-20 cmol(+)/kg为较理想水平），表明区域整体土壤缓冲性能和养分保持能力有提升空间，需关注低CEC土壤的改良与地力培育。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该地区土壤阳离子交换量整体处于中等水平，表明其保肥供肥能力尚可。但需关注部分区域可能存在的养分淋失风险，建议结合具体作物需求进行合理施肥管理。</w:t>
      </w:r>
    </w:p>
    <w:p>
      <w:pPr>
        <w:pStyle w:val="Heading2"/>
      </w:pPr>
      <w:r>
        <w:t>5.2 改良建议</w:t>
      </w:r>
    </w:p>
    <w:p>
      <w:r>
        <w:t>1. 该地区土壤阳离子交换量处于中等偏低水平，建议增施有机肥，如腐熟农家肥或商品有机肥，每年每亩施用2-3吨，以提升土壤有机质含量和保肥能力。</w:t>
        <w:br/>
        <w:t>2. 推广秸秆还田或种植绿肥（如紫云英、苕子），通过生物措施增加土壤有机质，改善土壤结构，从而逐步提高其吸附和保持养分的能力。</w:t>
        <w:br/>
        <w:t>3. 在施肥管理上，宜采用“少量多次”的原则，避免一次性大量施用化肥造成养分流失，提高肥料利用率。可配合使用腐殖酸类等具有保肥功能的土壤调理剂。</w:t>
      </w:r>
    </w:p>
    <w:p/>
    <w:p/>
    <w:p>
      <w:pPr>
        <w:jc w:val="right"/>
      </w:pPr>
      <w:r>
        <w:rPr>
          <w:i/>
          <w:sz w:val="18"/>
        </w:rPr>
        <w:t>生成时间: 2025-12-07 21:10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