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D3CFD9">
      <w:pPr>
        <w:pStyle w:val="762"/>
        <w:pBdr/>
        <w:spacing/>
        <w:ind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МИНИСТЕРСТВО  ОБРАЗОВАНИЯ  И  НАУКИ  РОССИЙСКОЙ  ФЕДЕРАЦИИ</w:t>
      </w:r>
      <w:r>
        <w:rPr>
          <w:b w:val="0"/>
          <w:i w:val="0"/>
          <w:sz w:val="24"/>
        </w:rPr>
      </w:r>
    </w:p>
    <w:p w14:paraId="1AE2AE85">
      <w:pPr>
        <w:pStyle w:val="762"/>
        <w:pBdr/>
        <w:spacing/>
        <w:ind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ФЕДЕРАЛЬНОЕ  ГОСУДАРСТВЕННОЕ  БЮДЖЕТНОЕ ОБРАЗОВАТЕЛЬНОЕ  УЧРЕЖДЕНИЕ </w:t>
      </w:r>
      <w:r>
        <w:rPr>
          <w:b w:val="0"/>
          <w:i w:val="0"/>
          <w:sz w:val="24"/>
        </w:rPr>
        <w:br/>
      </w:r>
      <w:r>
        <w:rPr>
          <w:b w:val="0"/>
          <w:i w:val="0"/>
          <w:sz w:val="24"/>
        </w:rPr>
        <w:t xml:space="preserve">ВЫСШЕГО ОБРАЗОВАНИЯ</w:t>
      </w:r>
      <w:r>
        <w:rPr>
          <w:b w:val="0"/>
          <w:i w:val="0"/>
          <w:sz w:val="24"/>
        </w:rPr>
      </w:r>
    </w:p>
    <w:p w14:paraId="0CF0443F">
      <w:pPr>
        <w:pStyle w:val="762"/>
        <w:pBdr/>
        <w:spacing/>
        <w:ind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НОВОСИБИРСКИЙ  ГОСУДАРСТВЕННЫЙ  ТЕХНИЧЕСКИЙ  УНИВЕРСИТЕТ</w:t>
      </w:r>
      <w:r>
        <w:rPr>
          <w:b w:val="0"/>
          <w:i w:val="0"/>
          <w:sz w:val="24"/>
        </w:rPr>
      </w:r>
    </w:p>
    <w:p w14:paraId="27F26012">
      <w:pPr>
        <w:pStyle w:val="762"/>
        <w:pBdr/>
        <w:spacing/>
        <w:ind/>
        <w:rPr>
          <w:b w:val="0"/>
          <w:i w:val="0"/>
          <w:sz w:val="24"/>
        </w:rPr>
      </w:pPr>
      <w:r>
        <w:rPr>
          <w:b w:val="0"/>
          <w:i w:val="0"/>
          <w:sz w:val="24"/>
        </w:rPr>
      </w:r>
      <w:r>
        <w:rPr>
          <w:b w:val="0"/>
          <w:i w:val="0"/>
          <w:sz w:val="24"/>
        </w:rPr>
      </w:r>
    </w:p>
    <w:p w14:paraId="7C932265">
      <w:pPr>
        <w:pStyle w:val="762"/>
        <w:pBdr/>
        <w:spacing/>
        <w:ind/>
        <w:rPr>
          <w:rFonts w:ascii="Cambria" w:hAnsi="Cambria"/>
          <w:b w:val="0"/>
        </w:rPr>
      </w:pPr>
      <w:r>
        <w:rPr>
          <w:b w:val="0"/>
          <w:i w:val="0"/>
          <w:sz w:val="24"/>
        </w:rPr>
        <w:t xml:space="preserve">Кафедра вычислительной техники</w:t>
      </w:r>
      <w:r>
        <w:rPr>
          <w:rFonts w:ascii="Cambria" w:hAnsi="Cambria"/>
          <w:b w:val="0"/>
        </w:rPr>
      </w:r>
    </w:p>
    <w:p w14:paraId="2A44A323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74FA68C5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17E87E6B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05A554DF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14E8F950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4B5C341C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№7 </w:t>
      </w:r>
      <w:r>
        <w:rPr>
          <w:sz w:val="28"/>
          <w:szCs w:val="28"/>
        </w:rPr>
      </w:r>
    </w:p>
    <w:p w14:paraId="66CFE3E3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«Вычислительная математика»</w:t>
      </w:r>
      <w:r>
        <w:rPr>
          <w:sz w:val="28"/>
          <w:szCs w:val="28"/>
        </w:rPr>
      </w:r>
    </w:p>
    <w:p w14:paraId="5F1EAAE2">
      <w:pPr>
        <w:pBdr/>
        <w:spacing/>
        <w:ind/>
        <w:jc w:val="center"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51B3305B">
      <w:pPr>
        <w:pBdr/>
        <w:spacing/>
        <w:ind/>
        <w:jc w:val="center"/>
        <w:rPr>
          <w:b/>
          <w:sz w:val="36"/>
          <w:szCs w:val="36"/>
        </w:rPr>
      </w:pPr>
      <w:r>
        <w:rPr>
          <w:sz w:val="32"/>
        </w:rPr>
        <w:t xml:space="preserve">Тема: </w:t>
      </w:r>
      <w:r>
        <w:rPr>
          <w:b/>
          <w:sz w:val="36"/>
          <w:szCs w:val="36"/>
        </w:rPr>
        <w:t xml:space="preserve">Численное решение </w:t>
      </w:r>
      <w:r>
        <w:rPr>
          <w:b/>
          <w:sz w:val="36"/>
          <w:szCs w:val="36"/>
        </w:rPr>
      </w:r>
    </w:p>
    <w:p w14:paraId="52CEFE20"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обыкновенных дифференциальных уравнений</w:t>
      </w:r>
      <w:r>
        <w:rPr>
          <w:b/>
          <w:sz w:val="36"/>
          <w:szCs w:val="36"/>
        </w:rPr>
      </w:r>
    </w:p>
    <w:p w14:paraId="03FAF649"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  <w:r>
        <w:rPr>
          <w:b/>
          <w:sz w:val="36"/>
          <w:szCs w:val="36"/>
        </w:rPr>
      </w:r>
    </w:p>
    <w:p w14:paraId="4134FA6E">
      <w:pPr>
        <w:pBdr/>
        <w:spacing/>
        <w:ind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</w:r>
      <w:r>
        <w:rPr>
          <w:rFonts w:ascii="Cambria" w:hAnsi="Cambria"/>
          <w:b/>
          <w:sz w:val="32"/>
        </w:rPr>
      </w:r>
    </w:p>
    <w:p w14:paraId="2DE22CEE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881B3A8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6253CD4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2EAC891A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0F873A63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6409C9D0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5C7E4F54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75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pPr w:horzAnchor="margin" w:tblpXSpec="left" w:vertAnchor="text" w:tblpY="127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2414"/>
      </w:tblGrid>
      <w:tr>
        <w:trPr/>
        <w:tc>
          <w:tcPr>
            <w:tcBorders/>
            <w:tcW w:w="2689" w:type="dxa"/>
          </w:tcPr>
          <w:p w14:paraId="04C6D46B">
            <w:pPr>
              <w:pBdr/>
              <w:tabs>
                <w:tab w:val="left" w:leader="none" w:pos="3147"/>
              </w:tabs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Студент</w:t>
            </w:r>
            <w:r>
              <w:rPr>
                <w:rFonts w:ascii="Cambria" w:hAnsi="Cambria"/>
                <w:lang w:val="ru-RU"/>
              </w:rPr>
              <w:t xml:space="preserve">ы</w:t>
            </w:r>
            <w:r>
              <w:rPr>
                <w:rFonts w:ascii="Cambria" w:hAnsi="Cambria"/>
              </w:rPr>
              <w:t xml:space="preserve">:</w:t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414" w:type="dxa"/>
          </w:tcPr>
          <w:p w14:paraId="4CD52FD3">
            <w:pPr>
              <w:pBdr/>
              <w:tabs>
                <w:tab w:val="left" w:leader="none" w:pos="3147"/>
              </w:tabs>
              <w:spacing/>
              <w:ind/>
              <w:rPr>
                <w:rFonts w:hint="default" w:ascii="Cambria" w:hAnsi="Cambria"/>
                <w:lang w:val="ru-RU"/>
              </w:rPr>
            </w:pPr>
            <w:r>
              <w:rPr>
                <w:rFonts w:hint="default" w:ascii="Cambria" w:hAnsi="Cambria"/>
                <w:lang w:val="ru-RU"/>
              </w:rPr>
              <w:t xml:space="preserve">Тютрин В.А</w:t>
            </w:r>
            <w:r>
              <w:rPr>
                <w:rFonts w:hint="default" w:ascii="Cambria" w:hAnsi="Cambria"/>
                <w:lang w:val="ru-RU"/>
              </w:rPr>
            </w:r>
          </w:p>
        </w:tc>
      </w:tr>
      <w:tr>
        <w:trPr/>
        <w:tc>
          <w:tcPr>
            <w:tcBorders/>
            <w:tcW w:w="2689" w:type="dxa"/>
          </w:tcPr>
          <w:p w14:paraId="12A7A0D7">
            <w:pPr>
              <w:pBdr/>
              <w:tabs>
                <w:tab w:val="left" w:leader="none" w:pos="3147"/>
              </w:tabs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Группа:</w:t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414" w:type="dxa"/>
          </w:tcPr>
          <w:p w14:paraId="1C10368B">
            <w:pPr>
              <w:pBdr/>
              <w:tabs>
                <w:tab w:val="left" w:leader="none" w:pos="3147"/>
              </w:tabs>
              <w:spacing/>
              <w:ind/>
              <w:rPr>
                <w:rFonts w:hint="default" w:ascii="Cambria" w:hAnsi="Cambria"/>
                <w:lang w:val="ru-RU"/>
              </w:rPr>
            </w:pPr>
            <w:r>
              <w:rPr>
                <w:rFonts w:ascii="Cambria" w:hAnsi="Cambria"/>
              </w:rPr>
              <w:t xml:space="preserve">АВТ-</w:t>
            </w:r>
            <w:r>
              <w:rPr>
                <w:rFonts w:hint="default" w:ascii="Cambria" w:hAnsi="Cambria"/>
                <w:lang w:val="ru-RU"/>
              </w:rPr>
              <w:t xml:space="preserve">441</w:t>
            </w:r>
            <w:r>
              <w:rPr>
                <w:rFonts w:hint="default" w:ascii="Cambria" w:hAnsi="Cambria"/>
                <w:lang w:val="ru-RU"/>
              </w:rPr>
            </w:r>
          </w:p>
        </w:tc>
      </w:tr>
      <w:tr>
        <w:trPr/>
        <w:tc>
          <w:tcPr>
            <w:tcBorders/>
            <w:tcW w:w="2689" w:type="dxa"/>
          </w:tcPr>
          <w:p w14:paraId="65D6C766">
            <w:pPr>
              <w:pBdr/>
              <w:tabs>
                <w:tab w:val="left" w:leader="none" w:pos="3147"/>
              </w:tabs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Преподаватель:</w:t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414" w:type="dxa"/>
          </w:tcPr>
          <w:p w14:paraId="094811BF">
            <w:pPr>
              <w:pBdr/>
              <w:tabs>
                <w:tab w:val="left" w:leader="none" w:pos="3147"/>
              </w:tabs>
              <w:spacing/>
              <w:ind/>
              <w:rPr>
                <w:rFonts w:hint="default" w:ascii="Cambria" w:hAnsi="Cambria"/>
                <w:lang w:val="ru-RU"/>
              </w:rPr>
            </w:pPr>
            <w:r>
              <w:rPr>
                <w:rFonts w:ascii="Cambria" w:hAnsi="Cambria"/>
                <w:lang w:val="ru-RU"/>
              </w:rPr>
              <w:t xml:space="preserve">Шелудько</w:t>
            </w:r>
            <w:r>
              <w:rPr>
                <w:rFonts w:hint="default" w:ascii="Cambria" w:hAnsi="Cambria"/>
                <w:lang w:val="ru-RU"/>
              </w:rPr>
              <w:t xml:space="preserve"> В. И.</w:t>
            </w:r>
            <w:r>
              <w:rPr>
                <w:rFonts w:hint="default" w:ascii="Cambria" w:hAnsi="Cambria"/>
                <w:lang w:val="ru-RU"/>
              </w:rPr>
            </w:r>
          </w:p>
        </w:tc>
      </w:tr>
      <w:tr>
        <w:trPr/>
        <w:tc>
          <w:tcPr>
            <w:tcBorders/>
            <w:tcW w:w="2689" w:type="dxa"/>
          </w:tcPr>
          <w:p w14:paraId="212AA9C0">
            <w:pPr>
              <w:pBdr/>
              <w:tabs>
                <w:tab w:val="left" w:leader="none" w:pos="3147"/>
              </w:tabs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414" w:type="dxa"/>
          </w:tcPr>
          <w:p w14:paraId="3511CBA6">
            <w:pPr>
              <w:pBdr/>
              <w:tabs>
                <w:tab w:val="left" w:leader="none" w:pos="3147"/>
              </w:tabs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 w14:paraId="20F45995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5FFB09B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34FB8530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0F94B2C4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6ED692A2">
      <w:pPr>
        <w:pBdr/>
        <w:spacing w:before="14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78B639D8">
      <w:pPr>
        <w:pBdr/>
        <w:tabs>
          <w:tab w:val="left" w:leader="none" w:pos="3147"/>
        </w:tabs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68B2B43E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0936BAC4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1B1CF8F0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4816E6BB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39BF684C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7B9170E4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3AE4EF2E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3E4490D9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1C415740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37335FD1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0D567C0E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4829CCF2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3DBCE238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19D1A41A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</w:p>
    <w:p w14:paraId="7F3370FD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  <w:t xml:space="preserve">Новосибирск</w:t>
      </w:r>
      <w:r>
        <w:rPr>
          <w:rFonts w:ascii="Cambria" w:hAnsi="Cambria"/>
        </w:rPr>
      </w:r>
    </w:p>
    <w:p w14:paraId="336071B4">
      <w:pPr>
        <w:pBdr/>
        <w:tabs>
          <w:tab w:val="left" w:leader="none" w:pos="3147"/>
        </w:tabs>
        <w:spacing/>
        <w:ind/>
        <w:jc w:val="center"/>
        <w:rPr>
          <w:rFonts w:ascii="Cambria" w:hAnsi="Cambria"/>
        </w:rPr>
      </w:pPr>
      <w:r>
        <w:rPr>
          <w:rFonts w:ascii="Cambria" w:hAnsi="Cambria"/>
        </w:rPr>
        <w:t xml:space="preserve"> 20</w:t>
      </w:r>
      <w:r>
        <w:rPr>
          <w:rFonts w:hint="default" w:ascii="Cambria" w:hAnsi="Cambria"/>
          <w:lang w:val="ru-RU"/>
        </w:rPr>
        <w:t xml:space="preserve">26</w:t>
      </w:r>
      <w:r>
        <w:rPr>
          <w:rFonts w:ascii="Cambria" w:hAnsi="Cambria"/>
        </w:rPr>
        <w:t xml:space="preserve"> г.</w:t>
      </w:r>
      <w:r>
        <w:rPr>
          <w:rFonts w:ascii="Cambria" w:hAnsi="Cambria"/>
        </w:rPr>
      </w:r>
    </w:p>
    <w:p w14:paraId="3440057D">
      <w:pPr>
        <w:pStyle w:val="748"/>
        <w:pBdr/>
        <w:spacing/>
        <w:ind/>
        <w:rPr/>
      </w:pPr>
      <w:r/>
      <w:bookmarkStart w:id="0" w:name="_Toc444804940"/>
      <w:r>
        <w:t xml:space="preserve">Содержание</w:t>
      </w:r>
      <w:r/>
    </w:p>
    <w:p w14:paraId="267E281D">
      <w:pPr>
        <w:pBdr/>
        <w:spacing/>
        <w:ind/>
        <w:rPr/>
      </w:pPr>
      <w:r/>
      <w:r/>
    </w:p>
    <w:p w14:paraId="24162B90">
      <w:pPr>
        <w:pBdr/>
        <w:spacing/>
        <w:ind/>
        <w:rPr>
          <w:sz w:val="28"/>
        </w:rPr>
      </w:pPr>
      <w:r>
        <w:rPr>
          <w:sz w:val="28"/>
        </w:rPr>
        <w:t xml:space="preserve">Краткое описание и задание на выполнение работы</w:t>
      </w:r>
      <w:r>
        <w:rPr>
          <w:sz w:val="28"/>
        </w:rPr>
      </w:r>
    </w:p>
    <w:p w14:paraId="4AFBB31F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B8F984A">
      <w:pPr>
        <w:pStyle w:val="769"/>
        <w:numPr>
          <w:ilvl w:val="0"/>
          <w:numId w:val="1"/>
        </w:numPr>
        <w:pBdr/>
        <w:spacing w:line="360" w:lineRule="auto"/>
        <w:ind/>
        <w:rPr>
          <w:sz w:val="28"/>
        </w:rPr>
      </w:pPr>
      <w:r>
        <w:rPr>
          <w:sz w:val="28"/>
        </w:rPr>
        <w:t xml:space="preserve">Ход работы..................................................................................................................3</w:t>
      </w:r>
      <w:r>
        <w:rPr>
          <w:sz w:val="28"/>
        </w:rPr>
      </w:r>
    </w:p>
    <w:p w14:paraId="555132D6">
      <w:pPr>
        <w:pStyle w:val="769"/>
        <w:numPr>
          <w:ilvl w:val="1"/>
          <w:numId w:val="1"/>
        </w:numPr>
        <w:pBdr/>
        <w:spacing w:line="360" w:lineRule="auto"/>
        <w:ind/>
        <w:rPr>
          <w:sz w:val="28"/>
        </w:rPr>
      </w:pPr>
      <w:r>
        <w:rPr>
          <w:sz w:val="28"/>
        </w:rPr>
        <w:t xml:space="preserve"> Решение ОДУ методом Рунге-Кута...................................................................3</w:t>
      </w:r>
      <w:r>
        <w:rPr>
          <w:sz w:val="28"/>
        </w:rPr>
      </w:r>
    </w:p>
    <w:p w14:paraId="768AB4DC">
      <w:pPr>
        <w:pStyle w:val="769"/>
        <w:numPr>
          <w:ilvl w:val="1"/>
          <w:numId w:val="1"/>
        </w:numPr>
        <w:pBdr/>
        <w:spacing w:line="360" w:lineRule="auto"/>
        <w:ind/>
        <w:rPr>
          <w:sz w:val="28"/>
        </w:rPr>
      </w:pPr>
      <w:r>
        <w:rPr>
          <w:sz w:val="28"/>
        </w:rPr>
        <w:t xml:space="preserve"> Решение ОДУ методом Эйлера..........................................................................5</w:t>
      </w:r>
      <w:r>
        <w:rPr>
          <w:sz w:val="28"/>
        </w:rPr>
      </w:r>
    </w:p>
    <w:p w14:paraId="118A5357">
      <w:pPr>
        <w:pStyle w:val="769"/>
        <w:numPr>
          <w:ilvl w:val="1"/>
          <w:numId w:val="1"/>
        </w:numPr>
        <w:pBdr/>
        <w:spacing w:line="360" w:lineRule="auto"/>
        <w:ind/>
        <w:rPr>
          <w:sz w:val="28"/>
        </w:rPr>
      </w:pPr>
      <w:r>
        <w:rPr>
          <w:sz w:val="28"/>
        </w:rPr>
        <w:t xml:space="preserve"> Решение ОДУ неявным методом Эйлера..........................................................7</w:t>
      </w:r>
      <w:r>
        <w:rPr>
          <w:sz w:val="28"/>
        </w:rPr>
      </w:r>
    </w:p>
    <w:p w14:paraId="4E28C8D5">
      <w:pPr>
        <w:pStyle w:val="769"/>
        <w:numPr>
          <w:ilvl w:val="1"/>
          <w:numId w:val="1"/>
        </w:numPr>
        <w:pBdr/>
        <w:spacing w:line="360" w:lineRule="auto"/>
        <w:ind/>
        <w:rPr>
          <w:sz w:val="28"/>
        </w:rPr>
      </w:pPr>
      <w:r>
        <w:rPr>
          <w:sz w:val="28"/>
        </w:rPr>
        <w:t xml:space="preserve"> Сравнение результатов…………………………………………………………10</w:t>
      </w:r>
      <w:r>
        <w:rPr>
          <w:sz w:val="28"/>
        </w:rPr>
      </w:r>
    </w:p>
    <w:p w14:paraId="2DE93CF5">
      <w:pPr>
        <w:pBdr/>
        <w:spacing w:line="360" w:lineRule="auto"/>
        <w:ind/>
        <w:rPr>
          <w:sz w:val="28"/>
        </w:rPr>
      </w:pPr>
      <w:r>
        <w:rPr>
          <w:sz w:val="28"/>
        </w:rPr>
        <w:t xml:space="preserve">Заключение</w:t>
      </w:r>
      <w:r>
        <w:rPr>
          <w:sz w:val="28"/>
        </w:rPr>
      </w:r>
    </w:p>
    <w:p w14:paraId="1A535ED9">
      <w:pPr>
        <w:pBdr/>
        <w:spacing w:line="360" w:lineRule="auto"/>
        <w:ind/>
        <w:rPr>
          <w:sz w:val="28"/>
        </w:rPr>
      </w:pPr>
      <w:r>
        <w:rPr>
          <w:sz w:val="28"/>
        </w:rPr>
        <w:t xml:space="preserve">Список литературы</w:t>
      </w:r>
      <w:r>
        <w:rPr>
          <w:sz w:val="28"/>
        </w:rPr>
      </w:r>
    </w:p>
    <w:p w14:paraId="7E7C4B76">
      <w:pPr>
        <w:pBdr/>
        <w:spacing w:line="360" w:lineRule="auto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F41158E">
      <w:pPr>
        <w:pBdr/>
        <w:spacing/>
        <w:ind/>
        <w:rPr/>
      </w:pPr>
      <w:r/>
      <w:r/>
    </w:p>
    <w:p w14:paraId="6CF5984B">
      <w:pPr>
        <w:pStyle w:val="769"/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5AB89DE0">
      <w:pPr>
        <w:pStyle w:val="769"/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 w14:paraId="165E857E">
      <w:pPr>
        <w:pBdr/>
        <w:tabs>
          <w:tab w:val="left" w:leader="none" w:pos="426"/>
        </w:tabs>
        <w:spacing w:line="360" w:lineRule="auto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1378C04E">
      <w:pPr>
        <w:pBdr/>
        <w:tabs>
          <w:tab w:val="left" w:leader="none" w:pos="426"/>
        </w:tabs>
        <w:spacing w:line="360" w:lineRule="auto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138003CE">
      <w:pPr>
        <w:pBdr/>
        <w:tabs>
          <w:tab w:val="left" w:leader="none" w:pos="426"/>
        </w:tabs>
        <w:spacing w:line="360" w:lineRule="auto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0A17E72">
      <w:pPr>
        <w:pBdr/>
        <w:tabs>
          <w:tab w:val="left" w:leader="none" w:pos="426"/>
        </w:tabs>
        <w:spacing w:line="360" w:lineRule="auto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8FE985C">
      <w:pPr>
        <w:pBdr/>
        <w:tabs>
          <w:tab w:val="left" w:leader="none" w:pos="426"/>
        </w:tabs>
        <w:spacing w:line="360" w:lineRule="auto"/>
        <w:ind/>
        <w:rPr>
          <w:sz w:val="28"/>
        </w:rPr>
      </w:pPr>
      <w:r>
        <w:rPr>
          <w:sz w:val="28"/>
        </w:rPr>
      </w:r>
      <w:bookmarkEnd w:id="0"/>
      <w:r>
        <w:rPr>
          <w:sz w:val="28"/>
        </w:rPr>
      </w:r>
    </w:p>
    <w:p w14:paraId="1F6D1D0C">
      <w:pPr>
        <w:pBdr/>
        <w:spacing/>
        <w:ind/>
        <w:rPr/>
      </w:pPr>
      <w:r/>
      <w:r/>
    </w:p>
    <w:p w14:paraId="6AD356E5">
      <w:pPr>
        <w:pBdr/>
        <w:spacing/>
        <w:ind/>
        <w:rPr/>
      </w:pPr>
      <w:r/>
      <w:r/>
    </w:p>
    <w:p w14:paraId="007600F6">
      <w:pPr>
        <w:pBdr/>
        <w:spacing/>
        <w:ind/>
        <w:rPr/>
      </w:pPr>
      <w:r/>
      <w:r/>
    </w:p>
    <w:p w14:paraId="066463A5">
      <w:pPr>
        <w:pBdr/>
        <w:spacing/>
        <w:ind/>
        <w:rPr/>
      </w:pPr>
      <w:r/>
      <w:r/>
    </w:p>
    <w:p w14:paraId="528AAB70">
      <w:pPr>
        <w:pBdr/>
        <w:spacing/>
        <w:ind/>
        <w:rPr/>
      </w:pPr>
      <w:r/>
      <w:r/>
    </w:p>
    <w:p w14:paraId="0BDC7C62">
      <w:pPr>
        <w:pBdr/>
        <w:spacing/>
        <w:ind/>
        <w:rPr/>
      </w:pPr>
      <w:r/>
      <w:r/>
    </w:p>
    <w:p w14:paraId="68353750">
      <w:pPr>
        <w:pBdr/>
        <w:spacing/>
        <w:ind/>
        <w:rPr/>
      </w:pPr>
      <w:r/>
      <w:r/>
    </w:p>
    <w:p w14:paraId="6655DE3B">
      <w:pPr>
        <w:pBdr/>
        <w:spacing/>
        <w:ind/>
        <w:rPr/>
      </w:pPr>
      <w:r/>
      <w:r/>
    </w:p>
    <w:p w14:paraId="627CF68B">
      <w:pPr>
        <w:pBdr/>
        <w:spacing/>
        <w:ind/>
        <w:rPr/>
      </w:pPr>
      <w:r/>
      <w:r/>
    </w:p>
    <w:p w14:paraId="37265DA5">
      <w:pPr>
        <w:pBdr/>
        <w:spacing/>
        <w:ind/>
        <w:rPr/>
      </w:pPr>
      <w:r/>
      <w:r/>
    </w:p>
    <w:p w14:paraId="2E262075">
      <w:pPr>
        <w:pBdr/>
        <w:spacing/>
        <w:ind/>
        <w:rPr/>
      </w:pPr>
      <w:r/>
      <w:r/>
    </w:p>
    <w:p w14:paraId="3C93419C">
      <w:pPr>
        <w:pBdr/>
        <w:spacing/>
        <w:ind/>
        <w:rPr/>
      </w:pPr>
      <w:r/>
      <w:r/>
    </w:p>
    <w:p w14:paraId="12126493">
      <w:pPr>
        <w:pBdr/>
        <w:spacing/>
        <w:ind/>
        <w:rPr/>
      </w:pPr>
      <w:r/>
      <w:r/>
    </w:p>
    <w:p w14:paraId="3D4A9075">
      <w:pPr>
        <w:pBdr/>
        <w:spacing/>
        <w:ind/>
        <w:rPr/>
      </w:pPr>
      <w:r/>
      <w:r/>
    </w:p>
    <w:p w14:paraId="2F243F96">
      <w:pPr>
        <w:pBdr/>
        <w:spacing/>
        <w:ind/>
        <w:rPr/>
      </w:pPr>
      <w:r/>
      <w:r/>
    </w:p>
    <w:p w14:paraId="1A2FFEC2">
      <w:pPr>
        <w:pBdr/>
        <w:spacing/>
        <w:ind/>
        <w:rPr/>
      </w:pPr>
      <w:r/>
      <w:r/>
    </w:p>
    <w:p w14:paraId="29A1C027">
      <w:pPr>
        <w:pBdr/>
        <w:spacing/>
        <w:ind/>
        <w:rPr/>
      </w:pPr>
      <w:r/>
      <w:r/>
    </w:p>
    <w:p w14:paraId="2FB4EEC4">
      <w:pPr>
        <w:pBdr/>
        <w:spacing/>
        <w:ind/>
        <w:rPr/>
      </w:pPr>
      <w:r/>
      <w:r/>
    </w:p>
    <w:p w14:paraId="4F2713EA">
      <w:pPr>
        <w:pBdr/>
        <w:spacing/>
        <w:ind/>
        <w:rPr/>
      </w:pPr>
      <w:r/>
      <w:r/>
    </w:p>
    <w:p w14:paraId="6DA143D0">
      <w:pPr>
        <w:pBdr/>
        <w:spacing/>
        <w:ind/>
        <w:rPr/>
      </w:pPr>
      <w:r/>
      <w:r/>
    </w:p>
    <w:p w14:paraId="103C2551">
      <w:pPr>
        <w:pBdr/>
        <w:spacing/>
        <w:ind/>
        <w:rPr/>
      </w:pPr>
      <w:r/>
      <w:r/>
    </w:p>
    <w:p w14:paraId="44E68BEF">
      <w:pPr>
        <w:pBdr/>
        <w:spacing/>
        <w:ind/>
        <w:rPr/>
      </w:pPr>
      <w:r/>
      <w:r/>
    </w:p>
    <w:p w14:paraId="5AF3890E">
      <w:pPr>
        <w:pStyle w:val="748"/>
        <w:numPr>
          <w:ilvl w:val="0"/>
          <w:numId w:val="2"/>
        </w:numPr>
        <w:pBdr/>
        <w:spacing/>
        <w:ind/>
        <w:rPr/>
      </w:pPr>
      <w:r/>
      <w:bookmarkStart w:id="1" w:name="_Toc446049487"/>
      <w:r/>
      <w:bookmarkStart w:id="2" w:name="_Toc444850781"/>
      <w:r>
        <w:t xml:space="preserve">Краткое описание и задание на выполнение работы</w:t>
      </w:r>
      <w:bookmarkEnd w:id="1"/>
      <w:r/>
      <w:bookmarkEnd w:id="2"/>
      <w:r/>
      <w:r/>
    </w:p>
    <w:p w14:paraId="3DC00F0E">
      <w:pPr>
        <w:pBdr/>
        <w:spacing/>
        <w:ind/>
        <w:rPr/>
      </w:pPr>
      <w:r/>
      <w:r/>
    </w:p>
    <w:p w14:paraId="2CEC7C4F">
      <w:pPr>
        <w:pBdr/>
        <w:spacing/>
        <w:ind w:firstLine="567"/>
        <w:rPr>
          <w:color w:val="000000"/>
        </w:rPr>
      </w:pPr>
      <w:r>
        <w:rPr>
          <w:b/>
          <w:color w:val="000000"/>
        </w:rPr>
        <w:t xml:space="preserve">Цель работы</w:t>
      </w:r>
      <w:r>
        <w:rPr>
          <w:color w:val="000000"/>
        </w:rPr>
        <w:t xml:space="preserve">:</w:t>
      </w:r>
      <w:bookmarkStart w:id="3" w:name="bookmark0"/>
      <w:r/>
      <w:bookmarkEnd w:id="3"/>
      <w:r>
        <w:rPr>
          <w:color w:val="000000"/>
        </w:rPr>
      </w:r>
    </w:p>
    <w:p w14:paraId="4D927985">
      <w:pPr>
        <w:pBdr/>
        <w:shd w:val="clear" w:color="auto" w:fill="ffffff"/>
        <w:spacing w:after="120" w:before="120" w:line="336" w:lineRule="atLeast"/>
        <w:ind w:firstLine="426"/>
        <w:jc w:val="both"/>
        <w:rPr/>
      </w:pPr>
      <w:r>
        <w:t xml:space="preserve">На основе заданного дифференциального уравнения приобрести опыт, практические навыки численного решения ОДУ и исследования на основе вычислительных экспериментов основных свойств вычислительных процессов и результатов применения численных методов. </w:t>
      </w:r>
      <w:r/>
    </w:p>
    <w:p w14:paraId="57325A52">
      <w:pPr>
        <w:pBdr/>
        <w:shd w:val="clear" w:color="auto" w:fill="ffffff"/>
        <w:spacing w:after="120" w:before="120" w:line="336" w:lineRule="atLeast"/>
        <w:ind w:firstLine="426"/>
        <w:jc w:val="both"/>
        <w:rPr>
          <w:b/>
          <w:color w:val="000000"/>
        </w:rPr>
      </w:pPr>
      <w:r>
        <w:rPr>
          <w:b/>
          <w:color w:val="000000"/>
        </w:rPr>
        <w:t xml:space="preserve">Задание на работу:</w:t>
      </w:r>
      <w:r>
        <w:rPr>
          <w:b/>
          <w:color w:val="000000"/>
        </w:rPr>
      </w:r>
    </w:p>
    <w:p w14:paraId="4665FFEE">
      <w:pPr>
        <w:pBdr/>
        <w:spacing/>
        <w:ind w:firstLine="180"/>
        <w:rPr/>
      </w:pPr>
      <w:r>
        <w:t xml:space="preserve">Задано одно ОДУ 1-го порядка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’ =  </w:t>
      </w:r>
      <w:r>
        <w:rPr>
          <w:b/>
          <w:i/>
          <w:lang w:val="en-US"/>
        </w:rPr>
        <w:t xml:space="preserve">f</w:t>
      </w:r>
      <w:r>
        <w:rPr>
          <w:b/>
          <w:i/>
        </w:rPr>
        <w:t xml:space="preserve">(</w:t>
      </w:r>
      <w:r>
        <w:rPr>
          <w:b/>
          <w:i/>
          <w:lang w:val="en-US"/>
        </w:rPr>
        <w:t xml:space="preserve"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)</w:t>
      </w:r>
      <w:r>
        <w:t xml:space="preserve">  с известной функцией </w:t>
      </w:r>
      <w:r>
        <w:rPr>
          <w:b/>
          <w:i/>
          <w:lang w:val="en-US"/>
        </w:rPr>
        <w:t xml:space="preserve">f</w:t>
      </w:r>
      <w:r>
        <w:rPr>
          <w:b/>
          <w:i/>
        </w:rPr>
        <w:t xml:space="preserve">(</w:t>
      </w:r>
      <w:r>
        <w:rPr>
          <w:b/>
          <w:i/>
          <w:lang w:val="en-US"/>
        </w:rPr>
        <w:t xml:space="preserve"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)</w:t>
      </w:r>
      <w:r>
        <w:t xml:space="preserve"> . Найти численное решение задачи Коши для этого уравнения на отрезке </w:t>
      </w:r>
      <w:r>
        <w:rPr>
          <w:b/>
          <w:i/>
        </w:rPr>
        <w:t xml:space="preserve">0 ≤  </w:t>
      </w:r>
      <w:r>
        <w:rPr>
          <w:b/>
          <w:i/>
          <w:lang w:val="en-US"/>
        </w:rPr>
        <w:t xml:space="preserve">x</w:t>
      </w:r>
      <w:r>
        <w:rPr>
          <w:b/>
          <w:i/>
        </w:rPr>
        <w:t xml:space="preserve"> ≤ 1</w:t>
      </w:r>
      <w:r>
        <w:t xml:space="preserve">, при  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(0) = 1</w:t>
      </w:r>
      <w:r>
        <w:t xml:space="preserve"> с помощью системы MathCad, используя три разных метода:</w:t>
      </w:r>
      <w:r/>
    </w:p>
    <w:p w14:paraId="521D21C2">
      <w:pPr>
        <w:numPr>
          <w:ilvl w:val="0"/>
          <w:numId w:val="3"/>
        </w:numPr>
        <w:pBdr/>
        <w:spacing/>
        <w:ind w:firstLine="180"/>
        <w:rPr/>
      </w:pPr>
      <w:r>
        <w:t xml:space="preserve">Метод высокого порядка (Рунге-Кутта);</w:t>
      </w:r>
      <w:r/>
    </w:p>
    <w:p w14:paraId="4C66A527">
      <w:pPr>
        <w:numPr>
          <w:ilvl w:val="0"/>
          <w:numId w:val="3"/>
        </w:numPr>
        <w:pBdr/>
        <w:spacing/>
        <w:ind w:firstLine="180"/>
        <w:rPr/>
      </w:pPr>
      <w:r>
        <w:t xml:space="preserve">Метод Эйлера;</w:t>
      </w:r>
      <w:r/>
    </w:p>
    <w:p w14:paraId="6196BA96">
      <w:pPr>
        <w:numPr>
          <w:ilvl w:val="0"/>
          <w:numId w:val="3"/>
        </w:numPr>
        <w:pBdr/>
        <w:spacing/>
        <w:ind w:firstLine="180"/>
        <w:rPr/>
      </w:pPr>
      <w:r>
        <w:t xml:space="preserve">Неявный метод Эйлера.</w:t>
      </w:r>
      <w:r/>
    </w:p>
    <w:p w14:paraId="4B00B8EC">
      <w:pPr>
        <w:pBdr/>
        <w:spacing/>
        <w:ind w:left="900"/>
        <w:rPr/>
      </w:pPr>
      <w:r/>
      <w:r/>
    </w:p>
    <w:p w14:paraId="4038ADF5">
      <w:pPr>
        <w:pBdr/>
        <w:spacing/>
        <w:ind w:firstLine="360"/>
        <w:rPr>
          <w:b/>
        </w:rPr>
      </w:pPr>
      <w:r>
        <w:rPr>
          <w:b/>
        </w:rPr>
        <w:t xml:space="preserve">Порядок выполнения работы:</w:t>
      </w:r>
      <w:r>
        <w:rPr>
          <w:b/>
        </w:rPr>
      </w:r>
    </w:p>
    <w:p w14:paraId="3577827A">
      <w:pPr>
        <w:pBdr/>
        <w:spacing/>
        <w:ind w:firstLine="360"/>
        <w:rPr>
          <w:b/>
        </w:rPr>
      </w:pPr>
      <w:r>
        <w:rPr>
          <w:b/>
        </w:rPr>
      </w:r>
      <w:r>
        <w:rPr>
          <w:b/>
        </w:rPr>
      </w:r>
    </w:p>
    <w:p w14:paraId="12AF321D">
      <w:pPr>
        <w:pStyle w:val="769"/>
        <w:numPr>
          <w:ilvl w:val="0"/>
          <w:numId w:val="4"/>
        </w:numPr>
        <w:pBdr/>
        <w:spacing/>
        <w:ind w:left="567"/>
        <w:rPr/>
      </w:pPr>
      <w:r>
        <w:t xml:space="preserve">По п.1 записать программу вычисления </w:t>
      </w:r>
      <w:r>
        <w:rPr>
          <w:b/>
          <w:i/>
          <w:lang w:val="en-US"/>
        </w:rPr>
        <w:t xml:space="preserve">f</w:t>
      </w:r>
      <w:r>
        <w:rPr>
          <w:b/>
          <w:i/>
        </w:rPr>
        <w:t xml:space="preserve">(</w:t>
      </w:r>
      <w:r>
        <w:rPr>
          <w:b/>
          <w:i/>
          <w:lang w:val="en-US"/>
        </w:rPr>
        <w:t xml:space="preserve"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)</w:t>
      </w:r>
      <w:r>
        <w:t xml:space="preserve">   MathCad и использовать стандартные процедуры решения ОДУ в этой системе (например, </w:t>
      </w:r>
      <w:r>
        <w:rPr>
          <w:b/>
        </w:rPr>
        <w:t xml:space="preserve">rkadapt, rkadart, rkfixed</w:t>
      </w:r>
      <w:r>
        <w:t xml:space="preserve">). Найти шаг, обеспечивающий абсолютную погрешность решения  </w:t>
      </w:r>
      <w:r>
        <w:rPr>
          <w:b/>
          <w:i/>
        </w:rPr>
        <w:t xml:space="preserve">ε ≤ 0.01÷0.001</w:t>
      </w:r>
      <w:r>
        <w:t xml:space="preserve"> при </w:t>
      </w:r>
      <w:r>
        <w:rPr>
          <w:b/>
          <w:i/>
          <w:lang w:val="en-US"/>
        </w:rPr>
        <w:t xml:space="preserve">x</w:t>
      </w:r>
      <w:r>
        <w:rPr>
          <w:b/>
          <w:i/>
        </w:rPr>
        <w:t xml:space="preserve"> = 1</w:t>
      </w:r>
      <w:r>
        <w:t xml:space="preserve"> и относительную погрешность </w:t>
      </w:r>
      <w:r>
        <w:rPr>
          <w:b/>
          <w:i/>
        </w:rPr>
        <w:t xml:space="preserve">ε / </w:t>
      </w:r>
      <w:r>
        <w:rPr>
          <w:b/>
          <w:i/>
          <w:lang w:val="en-US"/>
        </w:rPr>
        <w:t xml:space="preserve">y</w:t>
      </w:r>
      <w:r>
        <w:rPr>
          <w:b/>
          <w:i/>
        </w:rPr>
        <w:t xml:space="preserve"> &lt; 0.1</w:t>
      </w:r>
      <w:r>
        <w:t xml:space="preserve">.</w:t>
      </w:r>
      <w:r/>
    </w:p>
    <w:p w14:paraId="670E6DC9">
      <w:pPr>
        <w:pStyle w:val="769"/>
        <w:numPr>
          <w:ilvl w:val="0"/>
          <w:numId w:val="4"/>
        </w:numPr>
        <w:pBdr/>
        <w:spacing/>
        <w:ind w:left="567"/>
        <w:rPr/>
      </w:pPr>
      <w:r>
        <w:t xml:space="preserve">По п.2 записать формулы метода Эйлера и запрограммировать их в MathCad. Записать условия устойчивости численного решения и найти шаг, обеспечивающий устойчивость и погрешность п.1.</w:t>
      </w:r>
      <w:r/>
    </w:p>
    <w:p w14:paraId="30A5228D">
      <w:pPr>
        <w:pStyle w:val="769"/>
        <w:numPr>
          <w:ilvl w:val="0"/>
          <w:numId w:val="4"/>
        </w:numPr>
        <w:pBdr/>
        <w:spacing/>
        <w:ind w:left="567"/>
        <w:rPr/>
      </w:pPr>
      <w:r>
        <w:t xml:space="preserve">По п.3 записать формулы неявного метода Эйлера и запрограммировать их в MathCad. При этом для решения нелинейного уравнения на каждом шаге интегрирования использовать ст</w:t>
      </w:r>
      <w:r>
        <w:t xml:space="preserve">андартную процедуру поиска корня вычисления уравнения в системе MathCad (root). Уменьшая шаг, найти его величину, обеспечивающую ту же погрешность, что и в п.1. Записать условие устойчивости численного решения, убедится, что они выполняются при любом шаге.</w:t>
      </w:r>
      <w:r/>
    </w:p>
    <w:p w14:paraId="585EB689">
      <w:pPr>
        <w:pStyle w:val="769"/>
        <w:numPr>
          <w:ilvl w:val="0"/>
          <w:numId w:val="4"/>
        </w:numPr>
        <w:pBdr/>
        <w:spacing/>
        <w:ind w:left="567"/>
        <w:rPr/>
      </w:pPr>
      <w:r>
        <w:t xml:space="preserve">По п. 4 на метода основе Рунге-Кутта 4-го порядка решить ОДУ заданного варианта , используя стандартные  процедуры решения и параметры ОДУ MathCad, затем запрограммировать соответствующий численный метод в MathCad.  </w:t>
      </w:r>
      <w:r/>
    </w:p>
    <w:p w14:paraId="355E14AA">
      <w:pPr>
        <w:pStyle w:val="769"/>
        <w:numPr>
          <w:ilvl w:val="0"/>
          <w:numId w:val="4"/>
        </w:numPr>
        <w:pBdr/>
        <w:spacing/>
        <w:ind w:left="567"/>
        <w:rPr/>
      </w:pPr>
      <w:r>
        <w:t xml:space="preserve">Исследовать влияние шага  интегрирования на точность решения, добиться получение решения с заданной точностью.</w:t>
      </w:r>
      <w:r/>
    </w:p>
    <w:p w14:paraId="7CA01D43">
      <w:pPr>
        <w:pBdr/>
        <w:spacing/>
        <w:ind/>
        <w:rPr/>
      </w:pPr>
      <w:r/>
      <w:r/>
    </w:p>
    <w:p w14:paraId="765B2EAD">
      <w:pPr>
        <w:pBdr/>
        <w:spacing/>
        <w:ind w:firstLine="207" w:left="2694"/>
        <w:rPr/>
      </w:pPr>
      <w:r>
        <w:t xml:space="preserve">Исходные данные варианта</w:t>
      </w:r>
      <w:r>
        <w:rPr>
          <w:lang w:val="en-US"/>
        </w:rPr>
        <w:t xml:space="preserve"> </w:t>
      </w:r>
      <w:r>
        <w:rPr>
          <w:lang w:val="ru-RU"/>
        </w:rPr>
        <w:t xml:space="preserve">6</w:t>
      </w:r>
      <w:r>
        <w:t xml:space="preserve">:</w:t>
      </w:r>
      <w:r/>
    </w:p>
    <w:p w14:paraId="2939B8E9">
      <w:pPr>
        <w:pBdr/>
        <w:spacing/>
        <w:ind/>
        <w:rPr/>
      </w:pPr>
      <w:r/>
      <w:r/>
    </w:p>
    <w:tbl>
      <w:tblPr>
        <w:tblStyle w:val="765"/>
        <w:tblInd w:w="2460" w:type="dxa"/>
        <w:tblW w:w="411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417"/>
        <w:gridCol w:w="2694"/>
      </w:tblGrid>
      <w:tr>
        <w:trPr/>
        <w:tc>
          <w:tcPr>
            <w:tcBorders/>
            <w:tcW w:w="1417" w:type="dxa"/>
          </w:tcPr>
          <w:p w14:paraId="1FD19E06">
            <w:pPr>
              <w:pBdr/>
              <w:spacing/>
              <w:ind/>
              <w:jc w:val="center"/>
              <w:rPr/>
            </w:pPr>
            <w:r>
              <w:t xml:space="preserve">Вариант</w:t>
            </w:r>
            <w:r/>
          </w:p>
        </w:tc>
        <w:tc>
          <w:tcPr>
            <w:tcBorders/>
            <w:tcW w:w="2694" w:type="dxa"/>
          </w:tcPr>
          <w:p w14:paraId="64176D5A">
            <w:pPr>
              <w:pBdr/>
              <w:spacing/>
              <w:ind/>
              <w:jc w:val="center"/>
              <w:rPr/>
            </w:pPr>
            <w:r>
              <w:t xml:space="preserve">Уравнение</w:t>
            </w:r>
            <w:r/>
          </w:p>
        </w:tc>
      </w:tr>
      <w:tr>
        <w:trPr/>
        <w:tc>
          <w:tcPr>
            <w:tcBorders/>
            <w:tcW w:w="1417" w:type="dxa"/>
            <w:vAlign w:val="center"/>
          </w:tcPr>
          <w:p w14:paraId="1BC31598">
            <w:pPr>
              <w:pBdr/>
              <w:spacing/>
              <w:ind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 xml:space="preserve">6</w:t>
            </w:r>
            <w:r>
              <w:rPr>
                <w:rFonts w:hint="default"/>
                <w:lang w:val="ru-RU"/>
              </w:rPr>
            </w:r>
          </w:p>
        </w:tc>
        <w:tc>
          <w:tcPr>
            <w:tcBorders/>
            <w:tcW w:w="2694" w:type="dxa"/>
          </w:tcPr>
          <w:p w14:paraId="27BB84CB">
            <w:pPr>
              <w:pBdr/>
              <w:spacing/>
              <w:ind/>
              <w:jc w:val="center"/>
              <w:rPr>
                <w:rFonts w:hint="default"/>
                <w:lang w:val="en-US"/>
              </w:rPr>
            </w:pPr>
            <w:r>
              <w:rPr>
                <w:position w:val="-10"/>
                <w:lang w:val="en-US"/>
              </w:rPr>
            </w:r>
            <w:r>
              <w:rPr>
                <w:position w:val="-10"/>
                <w:lang w:val="en-US"/>
              </w:rPr>
              <w:object w:dxaOrig="0" w:dyaOrig="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width:87.00pt;height:18.00pt;mso-wrap-distance-left:0.00pt;mso-wrap-distance-top:0.00pt;mso-wrap-distance-right:0.00pt;mso-wrap-distance-bottom:0.00pt;z-index:1;" filled="f" stroked="false">
                  <v:imagedata r:id="rId12" o:title=""/>
                  <o:lock v:ext="edit" rotation="t"/>
                </v:shape>
                <o:OLEObject DrawAspect="Content" r:id="rId13" ObjectID="_1525040" ProgID="Equation.3" ShapeID="_x0000_i0" Type="Embed"/>
              </w:object>
            </w:r>
            <w:r>
              <w:rPr>
                <w:position w:val="-10"/>
                <w:lang w:val="en-US"/>
              </w:rPr>
            </w:r>
            <w:r>
              <w:rPr>
                <w:rFonts w:hint="default"/>
                <w:lang w:val="en-US"/>
              </w:rPr>
            </w:r>
          </w:p>
        </w:tc>
      </w:tr>
    </w:tbl>
    <w:p w14:paraId="62BD007C">
      <w:pPr>
        <w:pBdr/>
        <w:spacing/>
        <w:ind/>
        <w:rPr/>
      </w:pPr>
      <w:r/>
      <w:r/>
    </w:p>
    <w:p w14:paraId="4D78333F">
      <w:pPr>
        <w:pBdr/>
        <w:spacing/>
        <w:ind/>
        <w:rPr/>
      </w:pPr>
      <w:r/>
      <w:r/>
    </w:p>
    <w:p w14:paraId="69BB6016">
      <w:pPr>
        <w:pStyle w:val="748"/>
        <w:pBdr/>
        <w:tabs>
          <w:tab w:val="left" w:leader="none" w:pos="2550"/>
        </w:tabs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1DCB7ECA">
      <w:pPr>
        <w:pBdr/>
        <w:spacing/>
        <w:ind/>
        <w:rPr/>
      </w:pPr>
      <w:r/>
      <w:r/>
    </w:p>
    <w:p w14:paraId="057DDBAF">
      <w:pPr>
        <w:pBdr/>
        <w:spacing/>
        <w:ind/>
        <w:rPr/>
      </w:pPr>
      <w:r/>
      <w:r/>
    </w:p>
    <w:p w14:paraId="2FB5C62D">
      <w:pPr>
        <w:pBdr/>
        <w:spacing/>
        <w:ind/>
        <w:rPr/>
      </w:pPr>
      <w:r/>
      <w:r/>
    </w:p>
    <w:p w14:paraId="0F440A2C">
      <w:pPr>
        <w:pBdr/>
        <w:spacing/>
        <w:ind/>
        <w:rPr/>
      </w:pPr>
      <w:r/>
      <w:r/>
    </w:p>
    <w:p w14:paraId="02150161">
      <w:pPr>
        <w:pBdr/>
        <w:spacing/>
        <w:ind/>
        <w:rPr/>
      </w:pPr>
      <w:r/>
      <w:r/>
    </w:p>
    <w:p w14:paraId="00EDAB2E">
      <w:pPr>
        <w:pBdr/>
        <w:spacing/>
        <w:ind/>
        <w:rPr/>
      </w:pPr>
      <w:r/>
      <w:r/>
    </w:p>
    <w:p w14:paraId="12D64ABE">
      <w:pPr>
        <w:pBdr/>
        <w:spacing/>
        <w:ind/>
        <w:rPr/>
      </w:pPr>
      <w:r/>
      <w:r/>
    </w:p>
    <w:p w14:paraId="7FFD7BBF">
      <w:pPr>
        <w:pStyle w:val="748"/>
        <w:pBdr/>
        <w:tabs>
          <w:tab w:val="left" w:leader="none" w:pos="2550"/>
        </w:tabs>
        <w:spacing/>
        <w:ind/>
        <w:jc w:val="center"/>
        <w:rPr>
          <w:sz w:val="32"/>
        </w:rPr>
      </w:pPr>
      <w:r>
        <w:rPr>
          <w:sz w:val="32"/>
        </w:rPr>
        <w:t xml:space="preserve">Ход работы</w:t>
      </w:r>
      <w:r>
        <w:rPr>
          <w:sz w:val="32"/>
        </w:rPr>
      </w:r>
    </w:p>
    <w:p w14:paraId="47C78F56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Решение ОДУ стандартными средствами </w:t>
      </w:r>
      <w:r>
        <w:rPr>
          <w:b/>
          <w:sz w:val="28"/>
          <w:lang w:val="en-US"/>
        </w:rPr>
        <w:t xml:space="preserve">Mathcad</w:t>
      </w:r>
      <w:r>
        <w:rPr>
          <w:b/>
          <w:sz w:val="28"/>
        </w:rPr>
      </w:r>
    </w:p>
    <w:p w14:paraId="49D01D3B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Решение методом Рунге-Кута 4-го порядка</w:t>
      </w:r>
      <w:r>
        <w:rPr>
          <w:b/>
          <w:sz w:val="28"/>
        </w:rPr>
      </w:r>
    </w:p>
    <w:p w14:paraId="13345132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08D457E">
      <w:pPr>
        <w:pBdr/>
        <w:spacing/>
        <w:ind w:firstLine="567"/>
        <w:rPr/>
      </w:pPr>
      <w:r>
        <w:t xml:space="preserve">Решим задачу Коши для заданного ОДУ с помощью стандартной функции </w:t>
      </w:r>
      <w:r>
        <w:rPr>
          <w:lang w:val="en-US"/>
        </w:rPr>
        <w:t xml:space="preserve">Mathcad</w:t>
      </w:r>
      <w:r>
        <w:t xml:space="preserve"> </w:t>
      </w:r>
      <w:r>
        <w:rPr>
          <w:lang w:val="en-US"/>
        </w:rPr>
        <w:t xml:space="preserve">rkfixed</w:t>
      </w:r>
      <w:r>
        <w:t xml:space="preserve">,</w:t>
      </w:r>
      <w:r/>
    </w:p>
    <w:p w14:paraId="10D33ABC">
      <w:pPr>
        <w:pBdr/>
        <w:spacing/>
        <w:ind w:firstLine="567"/>
        <w:rPr/>
      </w:pPr>
      <w:r>
        <w:t xml:space="preserve">реализующей метод Рунге-Кутта 4-го порядка.</w:t>
      </w:r>
      <w:r/>
    </w:p>
    <w:p w14:paraId="547482E2">
      <w:pPr>
        <w:pBdr/>
        <w:spacing/>
        <w:ind/>
        <w:rPr/>
      </w:pPr>
      <w:r/>
      <w:r/>
    </w:p>
    <w:p w14:paraId="146BB787">
      <w:pPr>
        <w:pBdr/>
        <w:spacing/>
        <w:ind w:left="567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3785" cy="3416300"/>
                <wp:effectExtent l="0" t="0" r="8255" b="12700"/>
                <wp:docPr id="2" name="Изображение 21" descr="{824640DD-41BF-4538-93D2-DBC1312B237D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Изображение 21" descr="{824640DD-41BF-4538-93D2-DBC1312B237D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3784" cy="341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55pt;height:269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5267836F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244D292">
      <w:pPr>
        <w:pBdr/>
        <w:spacing/>
        <w:ind w:left="567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1080" cy="4678680"/>
                <wp:effectExtent l="0" t="0" r="0" b="0"/>
                <wp:docPr id="3" name="Изображение 22" descr="{9336E279-54AB-432B-8E83-97833101BF21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Изображение 22" descr="{9336E279-54AB-432B-8E83-97833101BF21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31080" cy="467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0.40pt;height:368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2E937B9F">
      <w:pPr>
        <w:pBdr/>
        <w:spacing/>
        <w:ind w:left="567"/>
        <w:rPr/>
      </w:pPr>
      <w:r/>
      <w:r/>
    </w:p>
    <w:p w14:paraId="3C6BBCF1">
      <w:pPr>
        <w:pBdr/>
        <w:spacing/>
        <w:ind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5652135"/>
                <wp:effectExtent l="0" t="0" r="0" b="0"/>
                <wp:docPr id="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3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8848" r="0" b="0"/>
                        <a:stretch/>
                      </pic:blipFill>
                      <pic:spPr bwMode="auto">
                        <a:xfrm>
                          <a:off x="0" y="0"/>
                          <a:ext cx="5210175" cy="5652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445.05pt;mso-wrap-distance-left:0.00pt;mso-wrap-distance-top:0.00pt;mso-wrap-distance-right:0.00pt;mso-wrap-distance-bottom:0.00pt;z-index:1;" stroked="f" strokeweight="0.75pt">
                <v:imagedata r:id="rId16" o:title="" croptop="5799f" cropleft="0f" cropbottom="0f" cropright="0f"/>
                <o:lock v:ext="edit" rotation="t"/>
              </v:shape>
            </w:pict>
          </mc:Fallback>
        </mc:AlternateContent>
      </w:r>
      <w:r/>
    </w:p>
    <w:p w14:paraId="6CCCFB1E">
      <w:pPr>
        <w:pBdr/>
        <w:spacing/>
        <w:ind/>
        <w:rPr/>
      </w:pPr>
      <w:r/>
      <w:r/>
    </w:p>
    <w:p w14:paraId="27297F7C">
      <w:pPr>
        <w:pBdr/>
        <w:spacing/>
        <w:ind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2743200"/>
                <wp:effectExtent l="19050" t="0" r="0" b="0"/>
                <wp:docPr id="5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19700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00pt;height:216.00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/>
    </w:p>
    <w:p w14:paraId="269AA5F7">
      <w:pPr>
        <w:pBdr/>
        <w:spacing/>
        <w:ind/>
        <w:rPr/>
      </w:pPr>
      <w:r/>
      <w:r/>
    </w:p>
    <w:p w14:paraId="55178AEC">
      <w:pPr>
        <w:pBdr/>
        <w:spacing/>
        <w:ind/>
        <w:rPr/>
      </w:pPr>
      <w:r/>
      <w:r/>
    </w:p>
    <w:p w14:paraId="1D0BABE6">
      <w:pPr>
        <w:pBdr/>
        <w:spacing/>
        <w:ind/>
        <w:rPr/>
      </w:pPr>
      <w:r/>
      <w:r/>
    </w:p>
    <w:p w14:paraId="76CC59B4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Решение ОДУ методом Эйлера</w:t>
      </w:r>
      <w:r>
        <w:rPr>
          <w:b/>
          <w:sz w:val="28"/>
        </w:rPr>
      </w:r>
    </w:p>
    <w:p w14:paraId="1E956CD9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A25E74F">
      <w:pPr>
        <w:pBdr/>
        <w:spacing/>
        <w:ind w:firstLine="360"/>
        <w:jc w:val="both"/>
        <w:rPr/>
      </w:pPr>
      <w:r>
        <w:t xml:space="preserve">               Численное решение ОДУ по методу Эйлера определяется формулой:</w:t>
      </w:r>
      <w:r/>
    </w:p>
    <w:p w14:paraId="217DF107">
      <w:pPr>
        <w:pBdr/>
        <w:spacing/>
        <w:ind w:firstLine="360"/>
        <w:jc w:val="both"/>
        <w:rPr/>
      </w:pPr>
      <w:r/>
      <w:r/>
    </w:p>
    <w:p w14:paraId="61BCE1A9">
      <w:pPr>
        <w:pBdr/>
        <w:spacing/>
        <w:ind/>
        <w:rPr/>
      </w:pPr>
      <w:r>
        <w:t xml:space="preserve">                   </w:t>
      </w:r>
      <w:r>
        <w:rPr>
          <w:position w:val="-1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10.20pt;height:20.0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DSMT4" ShapeID="_x0000_i5" Type="Embed"/>
        </w:object>
      </w:r>
      <w:r>
        <w:t xml:space="preserve">  , где </w:t>
      </w:r>
      <w:r>
        <w:rPr>
          <w:i/>
          <w:lang w:val="en-US"/>
        </w:rPr>
        <w:t xml:space="preserve">h</w:t>
      </w:r>
      <w:r>
        <w:t xml:space="preserve"> – выбранный (вычисленный) шаг.</w:t>
      </w:r>
      <w:r/>
    </w:p>
    <w:p w14:paraId="6B27CBD2">
      <w:pPr>
        <w:pBdr/>
        <w:spacing/>
        <w:ind/>
        <w:jc w:val="center"/>
        <w:rPr>
          <w:b/>
          <w:sz w:val="28"/>
        </w:rPr>
      </w:pPr>
      <w:r>
        <w:t xml:space="preserve">    </w:t>
      </w:r>
      <w:r>
        <w:rPr>
          <w:b/>
          <w:sz w:val="28"/>
        </w:rPr>
      </w:r>
    </w:p>
    <w:p w14:paraId="0E4015FB">
      <w:pPr>
        <w:pBdr/>
        <w:spacing/>
        <w:ind w:left="567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33825"/>
                <wp:effectExtent l="0" t="0" r="0" b="0"/>
                <wp:docPr id="7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3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0" r="0" b="24498"/>
                        <a:stretch/>
                      </pic:blipFill>
                      <pic:spPr bwMode="auto">
                        <a:xfrm>
                          <a:off x="0" y="0"/>
                          <a:ext cx="5200650" cy="3933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9.50pt;height:309.75pt;mso-wrap-distance-left:0.00pt;mso-wrap-distance-top:0.00pt;mso-wrap-distance-right:0.00pt;mso-wrap-distance-bottom:0.00pt;z-index:1;" stroked="f">
                <v:imagedata r:id="rId20" o:title="" croptop="0f" cropleft="0f" cropbottom="16055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0E3D50E2">
      <w:pPr>
        <w:pBdr/>
        <w:spacing/>
        <w:ind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D91DC5A">
      <w:pPr>
        <w:pBdr/>
        <w:spacing/>
        <w:ind w:left="567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2450" cy="2600325"/>
                <wp:effectExtent l="0" t="0" r="0" b="9525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362450" cy="26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3.50pt;height:204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50936542">
      <w:pPr>
        <w:pBdr/>
        <w:spacing/>
        <w:ind w:left="567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1219200"/>
                <wp:effectExtent l="0" t="0" r="0" b="0"/>
                <wp:docPr id="9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76600" r="0" b="0"/>
                        <a:stretch/>
                      </pic:blipFill>
                      <pic:spPr bwMode="auto">
                        <a:xfrm>
                          <a:off x="0" y="0"/>
                          <a:ext cx="52006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9.50pt;height:96.00pt;mso-wrap-distance-left:0.00pt;mso-wrap-distance-top:0.00pt;mso-wrap-distance-right:0.00pt;mso-wrap-distance-bottom:0.00pt;z-index:1;" stroked="f">
                <v:imagedata r:id="rId20" o:title="" croptop="50201f" cropleft="0f" cropbottom="0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53A8C6A5">
      <w:pPr>
        <w:pBdr/>
        <w:spacing/>
        <w:ind w:left="567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2457450"/>
                <wp:effectExtent l="0" t="0" r="9525" b="0"/>
                <wp:docPr id="10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00525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0.75pt;height:193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512D28EF">
      <w:pPr>
        <w:pBdr/>
        <w:spacing/>
        <w:ind w:left="284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F55E7A4">
      <w:pPr>
        <w:pBdr/>
        <w:spacing/>
        <w:ind w:left="567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2828925"/>
                <wp:effectExtent l="19050" t="0" r="9525" b="0"/>
                <wp:docPr id="11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исунок 3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391025" cy="282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45.75pt;height:222.75pt;mso-wrap-distance-left:0.00pt;mso-wrap-distance-top:0.00pt;mso-wrap-distance-right:0.00pt;mso-wrap-distance-bottom:0.00pt;z-index:1;" stroked="f" strokeweight="0.75pt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415ACE39">
      <w:pPr>
        <w:pBdr/>
        <w:spacing/>
        <w:ind w:left="567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2562225"/>
                <wp:effectExtent l="0" t="0" r="9525" b="9525"/>
                <wp:docPr id="1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619625" cy="256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3.75pt;height:201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1104C2F8">
      <w:pPr>
        <w:pBdr/>
        <w:spacing/>
        <w:ind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85E4DA5">
      <w:pPr>
        <w:pBdr/>
        <w:spacing/>
        <w:ind w:left="567"/>
        <w:rPr>
          <w:b/>
          <w:sz w:val="28"/>
        </w:rPr>
      </w:pPr>
      <w:r/>
      <w:bookmarkStart w:id="4" w:name="_GoBack"/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1276350"/>
                <wp:effectExtent l="19050" t="0" r="9525" b="0"/>
                <wp:docPr id="13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Рисунок 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0" t="0" r="0" b="50370"/>
                        <a:stretch/>
                      </pic:blipFill>
                      <pic:spPr bwMode="auto">
                        <a:xfrm>
                          <a:off x="0" y="0"/>
                          <a:ext cx="433387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1.25pt;height:100.50pt;mso-wrap-distance-left:0.00pt;mso-wrap-distance-top:0.00pt;mso-wrap-distance-right:0.00pt;mso-wrap-distance-bottom:0.00pt;z-index:1;" stroked="f" strokeweight="0.75pt">
                <v:imagedata r:id="rId25" o:title="" croptop="0f" cropleft="0f" cropbottom="33010f" cropright="0f"/>
                <o:lock v:ext="edit" rotation="t"/>
              </v:shape>
            </w:pict>
          </mc:Fallback>
        </mc:AlternateContent>
      </w:r>
      <w:bookmarkEnd w:id="4"/>
      <w:r/>
      <w:r>
        <w:rPr>
          <w:b/>
          <w:sz w:val="28"/>
        </w:rPr>
      </w:r>
    </w:p>
    <w:p w14:paraId="25D95257">
      <w:pPr>
        <w:pBdr/>
        <w:spacing/>
        <w:ind w:left="567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2828925"/>
                <wp:effectExtent l="0" t="0" r="9525" b="9525"/>
                <wp:docPr id="14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76825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9.75pt;height:222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3381C7FC">
      <w:pPr>
        <w:pBdr/>
        <w:spacing/>
        <w:ind/>
        <w:rPr/>
      </w:pPr>
      <w:r/>
      <w:r/>
    </w:p>
    <w:p w14:paraId="032C88A8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Исследование устойчивости решения</w:t>
      </w:r>
      <w:r>
        <w:rPr>
          <w:b/>
          <w:sz w:val="28"/>
        </w:rPr>
      </w:r>
    </w:p>
    <w:p w14:paraId="1AA9E552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36A8F67">
      <w:pPr>
        <w:pBdr/>
        <w:spacing/>
        <w:ind w:firstLine="360"/>
        <w:jc w:val="center"/>
        <w:rPr/>
      </w:pPr>
      <w:r>
        <w:t xml:space="preserve">Для метода Эйлера можно получить, что коэффициент усиления погрешности </w:t>
      </w:r>
      <w:r>
        <w:rPr>
          <w:position w:val="-28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" o:spid="_x0000_s14" type="#_x0000_t75" style="width:59.50pt;height:33.20pt;mso-wrap-distance-left:0.00pt;mso-wrap-distance-top:0.00pt;mso-wrap-distance-right:0.00pt;mso-wrap-distance-bottom:0.00pt;z-index:1;" filled="f" stroked="false">
            <v:imagedata r:id="rId27" o:title=""/>
            <o:lock v:ext="edit" rotation="t"/>
          </v:shape>
          <o:OLEObject DrawAspect="Content" r:id="rId28" ObjectID="_15250414" ProgID="Equation.DSMT4" ShapeID="_x0000_i14" Type="Embed"/>
        </w:object>
      </w:r>
      <w:r>
        <w:t xml:space="preserve">.</w:t>
      </w:r>
      <w:r/>
    </w:p>
    <w:p w14:paraId="5EFA767B">
      <w:pPr>
        <w:pBdr/>
        <w:spacing/>
        <w:ind/>
        <w:jc w:val="center"/>
        <w:rPr/>
      </w:pPr>
      <w:r>
        <w:t xml:space="preserve">Условие устойчивости </w:t>
      </w:r>
      <w:r>
        <w:rPr>
          <w:position w:val="-1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" o:spid="_x0000_s15" type="#_x0000_t75" style="width:30.70pt;height:20.05pt;mso-wrap-distance-left:0.00pt;mso-wrap-distance-top:0.00pt;mso-wrap-distance-right:0.00pt;mso-wrap-distance-bottom:0.00pt;z-index:1;" filled="f" stroked="false">
            <v:imagedata r:id="rId29" o:title=""/>
            <o:lock v:ext="edit" rotation="t"/>
          </v:shape>
          <o:OLEObject DrawAspect="Content" r:id="rId30" ObjectID="_15250415" ProgID="Equation.DSMT4" ShapeID="_x0000_i15" Type="Embed"/>
        </w:object>
      </w:r>
      <w:r>
        <w:t xml:space="preserve">.</w:t>
      </w:r>
      <w:r/>
    </w:p>
    <w:p w14:paraId="3045E4CA">
      <w:pPr>
        <w:pBdr/>
        <w:spacing/>
        <w:ind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7540" cy="1379220"/>
                <wp:effectExtent l="0" t="0" r="7620" b="7620"/>
                <wp:docPr id="17" name="Изображение 23" descr="{6704389A-017E-4412-B068-BE764D95EB9B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Изображение 23" descr="{6704389A-017E-4412-B068-BE764D95EB9B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177540" cy="1379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50.20pt;height:108.6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hint="default"/>
          <w:lang w:val="ru-RU"/>
        </w:rPr>
      </w:r>
    </w:p>
    <w:p w14:paraId="4538857E">
      <w:pPr>
        <w:pBdr/>
        <w:spacing/>
        <w:ind w:firstLine="567"/>
        <w:rPr/>
      </w:pPr>
      <w:r>
        <w:t xml:space="preserve">Как видим, коэффициенты усиления погрешности по модулю меньше единицы, следовательно, полученное решение устойчиво.</w:t>
      </w:r>
      <w:r/>
    </w:p>
    <w:p w14:paraId="12060359">
      <w:pPr>
        <w:pBdr/>
        <w:spacing/>
        <w:ind/>
        <w:rPr/>
      </w:pPr>
      <w:r/>
      <w:r/>
    </w:p>
    <w:p w14:paraId="5D3C3C16">
      <w:pPr>
        <w:pBdr/>
        <w:spacing/>
        <w:ind/>
        <w:rPr/>
      </w:pPr>
      <w:r/>
      <w:r/>
    </w:p>
    <w:p w14:paraId="4FE6BAAA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Неявный метод Эйлера</w:t>
      </w:r>
      <w:r>
        <w:rPr>
          <w:b/>
          <w:sz w:val="28"/>
        </w:rPr>
      </w:r>
    </w:p>
    <w:p w14:paraId="7B4A2D36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42B4854">
      <w:pPr>
        <w:pBdr/>
        <w:spacing/>
        <w:ind w:firstLine="567"/>
        <w:rPr/>
      </w:pPr>
      <w:r>
        <w:t xml:space="preserve">Формула численного решения по неявному методу Эйлера:</w:t>
      </w:r>
      <w:r/>
    </w:p>
    <w:p w14:paraId="4F808918">
      <w:pPr>
        <w:pBdr/>
        <w:spacing/>
        <w:ind w:firstLine="360"/>
        <w:rPr/>
      </w:pPr>
      <w:r>
        <w:rPr>
          <w:position w:val="-1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" o:spid="_x0000_s17" type="#_x0000_t75" style="width:122.70pt;height:20.05pt;mso-wrap-distance-left:0.00pt;mso-wrap-distance-top:0.00pt;mso-wrap-distance-right:0.00pt;mso-wrap-distance-bottom:0.00pt;z-index:1;" filled="f" stroked="false">
            <v:imagedata r:id="rId32" o:title=""/>
            <o:lock v:ext="edit" rotation="t"/>
          </v:shape>
          <o:OLEObject DrawAspect="Content" r:id="rId33" ObjectID="_15250417" ProgID="Equation.DSMT4" ShapeID="_x0000_i17" Type="Embed"/>
        </w:object>
      </w:r>
      <w:r>
        <w:t xml:space="preserve">.</w:t>
      </w:r>
      <w:r/>
    </w:p>
    <w:p w14:paraId="29F9AC03">
      <w:pPr>
        <w:pBdr/>
        <w:spacing/>
        <w:ind w:left="567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9225" cy="2876550"/>
                <wp:effectExtent l="0" t="0" r="0" b="0"/>
                <wp:docPr id="19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Рисунок 4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0" t="5625" r="0" b="0"/>
                        <a:stretch/>
                      </pic:blipFill>
                      <pic:spPr bwMode="auto">
                        <a:xfrm>
                          <a:off x="0" y="0"/>
                          <a:ext cx="5229225" cy="287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1.75pt;height:226.50pt;mso-wrap-distance-left:0.00pt;mso-wrap-distance-top:0.00pt;mso-wrap-distance-right:0.00pt;mso-wrap-distance-bottom:0.00pt;z-index:1;" stroked="f">
                <v:imagedata r:id="rId34" o:title="" croptop="3686f" cropleft="0f" cropbottom="0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301BEA7A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228600"/>
                <wp:effectExtent l="0" t="0" r="0" b="0"/>
                <wp:docPr id="20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rcRect l="0" t="0" r="0" b="96689"/>
                        <a:stretch/>
                      </pic:blipFill>
                      <pic:spPr bwMode="auto">
                        <a:xfrm>
                          <a:off x="0" y="0"/>
                          <a:ext cx="46767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68.25pt;height:18.00pt;mso-wrap-distance-left:0.00pt;mso-wrap-distance-top:0.00pt;mso-wrap-distance-right:0.00pt;mso-wrap-distance-bottom:0.00pt;z-index:1;" stroked="f">
                <v:imagedata r:id="rId35" o:title="" croptop="0f" cropleft="0f" cropbottom="63366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4986BAE8">
      <w:pPr>
        <w:pBdr/>
        <w:spacing/>
        <w:ind/>
        <w:jc w:val="center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2476500"/>
                <wp:effectExtent l="0" t="0" r="0" b="0"/>
                <wp:docPr id="21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419600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48.00pt;height:195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74512CE0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1B48BED">
      <w:pPr>
        <w:pBdr/>
        <w:spacing/>
        <w:ind w:left="567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1000125"/>
                <wp:effectExtent l="0" t="0" r="0" b="0"/>
                <wp:docPr id="22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Рисунок 4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rcRect l="0" t="4001" r="0" b="81516"/>
                        <a:stretch/>
                      </pic:blipFill>
                      <pic:spPr bwMode="auto">
                        <a:xfrm>
                          <a:off x="0" y="0"/>
                          <a:ext cx="467677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68.25pt;height:78.75pt;mso-wrap-distance-left:0.00pt;mso-wrap-distance-top:0.00pt;mso-wrap-distance-right:0.00pt;mso-wrap-distance-bottom:0.00pt;z-index:1;" stroked="f">
                <v:imagedata r:id="rId35" o:title="" croptop="2622f" cropleft="0f" cropbottom="53422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1246E7F5">
      <w:pPr>
        <w:pBdr/>
        <w:spacing/>
        <w:ind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069B5FF">
      <w:pPr>
        <w:pBdr/>
        <w:spacing/>
        <w:ind w:left="851"/>
        <w:rPr>
          <w:b/>
          <w:sz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6275" cy="2524125"/>
                <wp:effectExtent l="0" t="0" r="9525" b="9525"/>
                <wp:docPr id="23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486275" cy="2524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53.25pt;height:198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65B322B0">
      <w:pPr>
        <w:pBdr/>
        <w:spacing/>
        <w:ind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0DF69DC4">
      <w:pPr>
        <w:pBdr/>
        <w:spacing/>
        <w:ind w:left="567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6775" cy="2514600"/>
                <wp:effectExtent l="0" t="0" r="0" b="0"/>
                <wp:docPr id="2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rcRect l="0" t="21242" r="0" b="42344"/>
                        <a:stretch/>
                      </pic:blipFill>
                      <pic:spPr bwMode="auto">
                        <a:xfrm>
                          <a:off x="0" y="0"/>
                          <a:ext cx="4676775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68.25pt;height:198.00pt;mso-wrap-distance-left:0.00pt;mso-wrap-distance-top:0.00pt;mso-wrap-distance-right:0.00pt;mso-wrap-distance-bottom:0.00pt;z-index:1;" stroked="f">
                <v:imagedata r:id="rId35" o:title="" croptop="13921f" cropleft="0f" cropbottom="27751f" cropright="0f"/>
                <o:lock v:ext="edit" rotation="t"/>
              </v:shape>
            </w:pict>
          </mc:Fallback>
        </mc:AlternateContent>
      </w:r>
      <w:r>
        <w:rPr>
          <w:b/>
          <w:sz w:val="28"/>
        </w:rPr>
      </w:r>
    </w:p>
    <w:p w14:paraId="3BC39F1E">
      <w:pPr>
        <w:pBdr/>
        <w:spacing/>
        <w:ind w:firstLine="360"/>
        <w:jc w:val="both"/>
        <w:rPr/>
      </w:pPr>
      <w:r/>
      <w:r/>
    </w:p>
    <w:p w14:paraId="235C8DA0">
      <w:pPr>
        <w:pBdr/>
        <w:spacing/>
        <w:ind w:firstLine="360"/>
        <w:jc w:val="both"/>
        <w:rPr/>
      </w:pPr>
      <w:r/>
      <w:r/>
    </w:p>
    <w:p w14:paraId="2D3DF0F5">
      <w:pPr>
        <w:pBdr/>
        <w:spacing/>
        <w:ind w:firstLine="36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800" cy="2505075"/>
                <wp:effectExtent l="0" t="0" r="0" b="9525"/>
                <wp:docPr id="25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Рисунок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495800" cy="250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54.00pt;height:197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 w14:paraId="36A8A04D">
      <w:pPr>
        <w:pBdr/>
        <w:spacing/>
        <w:ind w:firstLine="36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1575" cy="2695575"/>
                <wp:effectExtent l="0" t="0" r="9525" b="9525"/>
                <wp:docPr id="26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исунок 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981575" cy="2695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92.25pt;height:212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 w14:paraId="7D6FCD48">
      <w:pPr>
        <w:pBdr/>
        <w:spacing/>
        <w:ind w:firstLine="360"/>
        <w:jc w:val="both"/>
        <w:rPr/>
      </w:pPr>
      <w:r/>
      <w:r/>
    </w:p>
    <w:p w14:paraId="3841CF71">
      <w:pPr>
        <w:pBdr/>
        <w:spacing/>
        <w:ind w:firstLine="360"/>
        <w:jc w:val="both"/>
        <w:rPr/>
      </w:pPr>
      <w:r/>
      <w:r/>
    </w:p>
    <w:p w14:paraId="17E462B4">
      <w:pPr>
        <w:pBdr/>
        <w:spacing/>
        <w:ind w:firstLine="360"/>
        <w:jc w:val="both"/>
        <w:rPr/>
      </w:pPr>
      <w:r>
        <w:t xml:space="preserve">Коэффициент усиления погрешности для неявного метода Эйлера определяется соотношением:</w:t>
      </w:r>
      <w:r/>
    </w:p>
    <w:p w14:paraId="1ECFA8B7">
      <w:pPr>
        <w:pBdr/>
        <w:spacing/>
        <w:ind w:firstLine="360"/>
        <w:jc w:val="both"/>
        <w:rPr/>
      </w:pPr>
      <w:r/>
      <w:r/>
    </w:p>
    <w:p w14:paraId="1C8291BC">
      <w:pPr>
        <w:pBdr/>
        <w:spacing/>
        <w:ind w:firstLine="36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52475" cy="561975"/>
                <wp:effectExtent l="19050" t="0" r="9525" b="0"/>
                <wp:docPr id="27" name="Рисуно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Рисунок 4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75247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9.25pt;height:44.25pt;mso-wrap-distance-left:0.00pt;mso-wrap-distance-top:0.00pt;mso-wrap-distance-right:0.00pt;mso-wrap-distance-bottom:0.00pt;z-index:1;" stroked="f" strokeweight="0.75pt">
                <v:imagedata r:id="rId40" o:title=""/>
                <o:lock v:ext="edit" rotation="t"/>
              </v:shape>
            </w:pict>
          </mc:Fallback>
        </mc:AlternateContent>
      </w:r>
      <w:r/>
    </w:p>
    <w:p w14:paraId="48E4B803">
      <w:pPr>
        <w:pBdr/>
        <w:spacing/>
        <w:ind w:firstLine="360"/>
        <w:jc w:val="center"/>
        <w:rPr/>
      </w:pPr>
      <w:r>
        <w:t xml:space="preserve">Условие устойчивости</w:t>
      </w:r>
      <w:r>
        <w:rPr>
          <w:lang w:val="en-US"/>
        </w:rPr>
        <w:t xml:space="preserve"> </w:t>
      </w:r>
      <w:r>
        <w:t xml:space="preserve">решения: </w:t>
      </w:r>
      <w:r>
        <w:rPr>
          <w:position w:val="-14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" o:spid="_x0000_s27" type="#_x0000_t75" style="width:30.70pt;height:20.05pt;mso-wrap-distance-left:0.00pt;mso-wrap-distance-top:0.00pt;mso-wrap-distance-right:0.00pt;mso-wrap-distance-bottom:0.00pt;z-index:1;" filled="f" stroked="false">
            <v:imagedata r:id="rId41" o:title=""/>
            <o:lock v:ext="edit" rotation="t"/>
          </v:shape>
          <o:OLEObject DrawAspect="Content" r:id="rId42" ObjectID="_15250427" ProgID="Equation.DSMT4" ShapeID="_x0000_i27" Type="Embed"/>
        </w:object>
      </w:r>
      <w:r>
        <w:t xml:space="preserve">.</w:t>
      </w:r>
      <w:r/>
    </w:p>
    <w:p w14:paraId="05DEE623">
      <w:pPr>
        <w:pBdr/>
        <w:spacing/>
        <w:ind w:firstLine="360"/>
        <w:jc w:val="center"/>
        <w:rPr/>
      </w:pPr>
      <w:r/>
      <w:r/>
    </w:p>
    <w:p w14:paraId="789623BE">
      <w:pPr>
        <w:pBdr/>
        <w:spacing/>
        <w:ind w:left="567"/>
        <w:rPr>
          <w:rFonts w:hint="default"/>
          <w:b/>
          <w:sz w:val="28"/>
          <w:lang w:val="ru-RU"/>
        </w:rPr>
      </w:pPr>
      <w:r>
        <w:rPr>
          <w:rFonts w:hint="default"/>
          <w:b/>
          <w:sz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91840" cy="1874520"/>
                <wp:effectExtent l="0" t="0" r="0" b="0"/>
                <wp:docPr id="29" name="Изображение 24" descr="{7B35D707-BE49-4EBA-B1C1-BD5F0B67AF06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Изображение 24" descr="{7B35D707-BE49-4EBA-B1C1-BD5F0B67AF06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291840" cy="187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259.20pt;height:147.6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hint="default"/>
          <w:b/>
          <w:sz w:val="28"/>
          <w:lang w:val="ru-RU"/>
        </w:rPr>
      </w:r>
    </w:p>
    <w:p w14:paraId="5326379C">
      <w:pPr>
        <w:pBdr/>
        <w:spacing/>
        <w:ind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2F4C485">
      <w:pPr>
        <w:pBdr/>
        <w:spacing/>
        <w:ind w:left="567"/>
        <w:rPr/>
      </w:pPr>
      <w:r>
        <w:t xml:space="preserve">Все три полученных решения устойчивы, однако, последующее уменьшение шага приведет к неустойчивости решения.</w:t>
      </w:r>
      <w:r/>
    </w:p>
    <w:p w14:paraId="28211525">
      <w:pPr>
        <w:pBdr/>
        <w:spacing/>
        <w:ind w:left="567"/>
        <w:rPr/>
      </w:pPr>
      <w:r/>
      <w:r/>
    </w:p>
    <w:p w14:paraId="4950F656">
      <w:pPr>
        <w:pBdr/>
        <w:spacing/>
        <w:ind w:left="567"/>
        <w:rPr/>
      </w:pPr>
      <w:r/>
      <w:r/>
    </w:p>
    <w:p w14:paraId="3366EAE9">
      <w:pPr>
        <w:pBdr/>
        <w:spacing/>
        <w:ind w:left="567"/>
        <w:rPr/>
      </w:pPr>
      <w:r/>
      <w:r/>
    </w:p>
    <w:p w14:paraId="2FADD548">
      <w:pPr>
        <w:pBdr/>
        <w:spacing/>
        <w:ind w:left="567"/>
        <w:jc w:val="center"/>
        <w:rPr>
          <w:b/>
          <w:sz w:val="28"/>
        </w:rPr>
      </w:pPr>
      <w:r>
        <w:rPr>
          <w:b/>
          <w:sz w:val="28"/>
        </w:rPr>
        <w:t xml:space="preserve">Сравнение результатов</w:t>
      </w:r>
      <w:r>
        <w:rPr>
          <w:b/>
          <w:sz w:val="28"/>
        </w:rPr>
      </w:r>
    </w:p>
    <w:p w14:paraId="6DE98505">
      <w:pPr>
        <w:pBdr/>
        <w:spacing/>
        <w:ind w:left="567"/>
        <w:rPr>
          <w:b/>
        </w:rPr>
      </w:pPr>
      <w:r>
        <w:rPr>
          <w:b/>
        </w:rPr>
      </w:r>
      <w:r>
        <w:rPr>
          <w:b/>
        </w:rPr>
      </w:r>
    </w:p>
    <w:p w14:paraId="394E7A6F">
      <w:pPr>
        <w:pBdr/>
        <w:spacing/>
        <w:ind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5029200"/>
                <wp:effectExtent l="0" t="0" r="0" b="0"/>
                <wp:docPr id="30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381500" cy="502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45.00pt;height:396.0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</w:p>
    <w:p w14:paraId="4F5A3110">
      <w:pPr>
        <w:pBdr/>
        <w:spacing/>
        <w:ind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3900" cy="2838450"/>
                <wp:effectExtent l="0" t="0" r="0" b="0"/>
                <wp:docPr id="31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533900" cy="2838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57.00pt;height:223.5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 w14:paraId="07945E06">
      <w:pPr>
        <w:pBdr/>
        <w:spacing/>
        <w:ind w:firstLine="567" w:left="567"/>
        <w:rPr/>
      </w:pPr>
      <w:r>
        <w:t xml:space="preserve">Как видно из сравнения, метод Эйлера и неявный метод Эйлера дают практически аналогичные результаты.</w:t>
      </w:r>
      <w:r/>
    </w:p>
    <w:p w14:paraId="378C1D1C">
      <w:pPr>
        <w:pBdr/>
        <w:spacing/>
        <w:ind w:left="567"/>
        <w:rPr/>
      </w:pPr>
      <w:r/>
      <w:r/>
    </w:p>
    <w:p w14:paraId="64657348">
      <w:pPr>
        <w:pBdr/>
        <w:spacing/>
        <w:ind w:left="567"/>
        <w:rPr/>
      </w:pPr>
      <w:r/>
      <w:r/>
    </w:p>
    <w:p w14:paraId="3BFDC635">
      <w:pPr>
        <w:pBdr/>
        <w:spacing/>
        <w:ind w:left="567"/>
        <w:rPr/>
      </w:pPr>
      <w:r/>
      <w:r/>
    </w:p>
    <w:p w14:paraId="1911A9AD">
      <w:pPr>
        <w:pBdr/>
        <w:spacing/>
        <w:ind w:left="567"/>
        <w:rPr/>
      </w:pPr>
      <w:r/>
      <w:r/>
    </w:p>
    <w:p w14:paraId="4A11FD18">
      <w:pPr>
        <w:pBdr/>
        <w:spacing/>
        <w:ind w:left="567"/>
        <w:rPr/>
      </w:pPr>
      <w:r/>
      <w:r/>
    </w:p>
    <w:p w14:paraId="0511D8AC">
      <w:pPr>
        <w:pBdr/>
        <w:spacing/>
        <w:ind w:left="567"/>
        <w:rPr/>
      </w:pPr>
      <w:r/>
      <w:r/>
    </w:p>
    <w:p w14:paraId="75D1213D">
      <w:pPr>
        <w:pBdr/>
        <w:spacing/>
        <w:ind w:left="567"/>
        <w:rPr/>
      </w:pPr>
      <w:r>
        <w:t xml:space="preserve">Таблица 1 - Влияние количества шагов (величины шага) на погрешности результатов. </w:t>
      </w:r>
      <w:r/>
    </w:p>
    <w:p w14:paraId="4EB627FF">
      <w:pPr>
        <w:pBdr/>
        <w:spacing/>
        <w:ind w:left="567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Style w:val="765"/>
        <w:tblInd w:w="567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876"/>
        <w:gridCol w:w="2073"/>
        <w:gridCol w:w="2095"/>
        <w:gridCol w:w="2149"/>
        <w:gridCol w:w="1922"/>
      </w:tblGrid>
      <w:tr>
        <w:trPr/>
        <w:tc>
          <w:tcPr>
            <w:tcBorders/>
            <w:tcW w:w="1876" w:type="dxa"/>
            <w:vAlign w:val="center"/>
          </w:tcPr>
          <w:p w14:paraId="5B37B489">
            <w:pPr>
              <w:pBdr/>
              <w:spacing/>
              <w:ind/>
              <w:jc w:val="center"/>
              <w:rPr/>
            </w:pPr>
            <w:r>
              <w:t xml:space="preserve">Количество</w:t>
            </w:r>
            <w:r/>
          </w:p>
          <w:p w14:paraId="15B6FBF1">
            <w:pPr>
              <w:pBdr/>
              <w:spacing/>
              <w:ind/>
              <w:jc w:val="center"/>
              <w:rPr/>
            </w:pPr>
            <w:r>
              <w:t xml:space="preserve">шагов</w:t>
            </w:r>
            <w:r/>
          </w:p>
        </w:tc>
        <w:tc>
          <w:tcPr>
            <w:tcBorders/>
            <w:tcW w:w="2073" w:type="dxa"/>
            <w:vAlign w:val="center"/>
          </w:tcPr>
          <w:p w14:paraId="6E631C27">
            <w:pPr>
              <w:pBdr/>
              <w:spacing/>
              <w:ind/>
              <w:jc w:val="center"/>
              <w:rPr/>
            </w:pPr>
            <w:r>
              <w:t xml:space="preserve">Погрешность</w:t>
            </w:r>
            <w:r/>
          </w:p>
        </w:tc>
        <w:tc>
          <w:tcPr>
            <w:tcBorders/>
            <w:tcW w:w="2095" w:type="dxa"/>
            <w:vAlign w:val="center"/>
          </w:tcPr>
          <w:p w14:paraId="4914CDEA">
            <w:pPr>
              <w:pBdr/>
              <w:spacing/>
              <w:ind/>
              <w:jc w:val="center"/>
              <w:rPr/>
            </w:pPr>
            <w:r>
              <w:t xml:space="preserve">Метод Рунге-Кута</w:t>
            </w:r>
            <w:r/>
          </w:p>
        </w:tc>
        <w:tc>
          <w:tcPr>
            <w:tcBorders/>
            <w:tcW w:w="2149" w:type="dxa"/>
            <w:vAlign w:val="center"/>
          </w:tcPr>
          <w:p w14:paraId="51A39075">
            <w:pPr>
              <w:pBdr/>
              <w:spacing/>
              <w:ind/>
              <w:jc w:val="center"/>
              <w:rPr/>
            </w:pPr>
            <w:r>
              <w:t xml:space="preserve">Метод Эйлера</w:t>
            </w:r>
            <w:r/>
          </w:p>
        </w:tc>
        <w:tc>
          <w:tcPr>
            <w:tcBorders/>
            <w:tcW w:w="1922" w:type="dxa"/>
            <w:vAlign w:val="center"/>
          </w:tcPr>
          <w:p w14:paraId="35B97CE1">
            <w:pPr>
              <w:pBdr/>
              <w:spacing/>
              <w:ind/>
              <w:jc w:val="center"/>
              <w:rPr/>
            </w:pPr>
            <w:r>
              <w:t xml:space="preserve">Неявный метод Эйлера</w:t>
            </w:r>
            <w:r/>
          </w:p>
        </w:tc>
      </w:tr>
      <w:tr>
        <w:trPr/>
        <w:tc>
          <w:tcPr>
            <w:tcBorders/>
            <w:tcW w:w="1876" w:type="dxa"/>
            <w:vAlign w:val="center"/>
            <w:vMerge w:val="restart"/>
          </w:tcPr>
          <w:p w14:paraId="39D6F177">
            <w:pPr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2073" w:type="dxa"/>
          </w:tcPr>
          <w:p w14:paraId="51B4101A">
            <w:pPr>
              <w:pBdr/>
              <w:spacing/>
              <w:ind/>
              <w:rPr/>
            </w:pPr>
            <w:r>
              <w:t xml:space="preserve">Абсолютная</w:t>
            </w:r>
            <w:r/>
          </w:p>
        </w:tc>
        <w:tc>
          <w:tcPr>
            <w:tcBorders/>
            <w:tcW w:w="2095" w:type="dxa"/>
          </w:tcPr>
          <w:p w14:paraId="46A32909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1.076  ∙  10</w:t>
            </w:r>
            <w:r>
              <w:rPr>
                <w:vertAlign w:val="superscript"/>
                <w:lang w:val="en-US"/>
              </w:rPr>
              <w:t xml:space="preserve">-10</w:t>
            </w:r>
            <w:r>
              <w:rPr>
                <w:lang w:val="en-US"/>
              </w:rPr>
            </w:r>
          </w:p>
        </w:tc>
        <w:tc>
          <w:tcPr>
            <w:tcBorders/>
            <w:tcW w:w="2149" w:type="dxa"/>
          </w:tcPr>
          <w:p w14:paraId="722AD24E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6.69 ∙ 10</w:t>
            </w:r>
            <w:r>
              <w:rPr>
                <w:vertAlign w:val="superscript"/>
                <w:lang w:val="en-US"/>
              </w:rPr>
              <w:t xml:space="preserve">-9</w:t>
            </w:r>
            <w:r>
              <w:rPr>
                <w:lang w:val="en-US"/>
              </w:rPr>
            </w:r>
          </w:p>
        </w:tc>
        <w:tc>
          <w:tcPr>
            <w:tcBorders/>
            <w:tcW w:w="1922" w:type="dxa"/>
          </w:tcPr>
          <w:p w14:paraId="4060D3B4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2.753 ∙ 10</w:t>
            </w:r>
            <w:r>
              <w:rPr>
                <w:vertAlign w:val="superscript"/>
                <w:lang w:val="en-US"/>
              </w:rPr>
              <w:t xml:space="preserve">-7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76" w:type="dxa"/>
            <w:vAlign w:val="center"/>
            <w:vMerge w:val="continue"/>
          </w:tcPr>
          <w:p w14:paraId="22D3AB46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073" w:type="dxa"/>
          </w:tcPr>
          <w:p w14:paraId="355567C7">
            <w:pPr>
              <w:pBdr/>
              <w:spacing/>
              <w:ind/>
              <w:rPr/>
            </w:pPr>
            <w:r>
              <w:t xml:space="preserve">Относительная</w:t>
            </w:r>
            <w:r/>
          </w:p>
        </w:tc>
        <w:tc>
          <w:tcPr>
            <w:tcBorders/>
            <w:tcW w:w="2095" w:type="dxa"/>
          </w:tcPr>
          <w:p w14:paraId="69DEDE1D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0.888</w:t>
            </w:r>
            <w:r>
              <w:rPr>
                <w:lang w:val="en-US"/>
              </w:rPr>
            </w:r>
          </w:p>
        </w:tc>
        <w:tc>
          <w:tcPr>
            <w:tcBorders/>
            <w:tcW w:w="2149" w:type="dxa"/>
          </w:tcPr>
          <w:p w14:paraId="5FBBAABC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1.251</w:t>
            </w:r>
            <w:r>
              <w:rPr>
                <w:lang w:val="en-US"/>
              </w:rPr>
            </w:r>
          </w:p>
        </w:tc>
        <w:tc>
          <w:tcPr>
            <w:tcBorders/>
            <w:tcW w:w="1922" w:type="dxa"/>
          </w:tcPr>
          <w:p w14:paraId="52825881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1.198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76" w:type="dxa"/>
            <w:vAlign w:val="center"/>
            <w:vMerge w:val="restart"/>
          </w:tcPr>
          <w:p w14:paraId="0D84820E">
            <w:pPr>
              <w:pBdr/>
              <w:spacing/>
              <w:ind/>
              <w:jc w:val="center"/>
              <w:rPr/>
            </w:pPr>
            <w:r>
              <w:t xml:space="preserve">200</w:t>
            </w:r>
            <w:r/>
          </w:p>
        </w:tc>
        <w:tc>
          <w:tcPr>
            <w:tcBorders/>
            <w:tcW w:w="2073" w:type="dxa"/>
          </w:tcPr>
          <w:p w14:paraId="4B550110">
            <w:pPr>
              <w:pBdr/>
              <w:spacing/>
              <w:ind/>
              <w:rPr>
                <w:lang w:val="en-US"/>
              </w:rPr>
            </w:pPr>
            <w:r>
              <w:t xml:space="preserve">Абсолютная</w:t>
            </w:r>
            <w:r>
              <w:rPr>
                <w:lang w:val="en-US"/>
              </w:rPr>
            </w:r>
          </w:p>
        </w:tc>
        <w:tc>
          <w:tcPr>
            <w:tcBorders/>
            <w:tcW w:w="2095" w:type="dxa"/>
          </w:tcPr>
          <w:p w14:paraId="588DAB37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1.95 ∙ 10</w:t>
            </w:r>
            <w:r>
              <w:rPr>
                <w:vertAlign w:val="superscript"/>
                <w:lang w:val="en-US"/>
              </w:rPr>
              <w:t xml:space="preserve">-8</w:t>
            </w:r>
            <w:r>
              <w:rPr>
                <w:lang w:val="en-US"/>
              </w:rPr>
            </w:r>
          </w:p>
        </w:tc>
        <w:tc>
          <w:tcPr>
            <w:tcBorders/>
            <w:tcW w:w="2149" w:type="dxa"/>
          </w:tcPr>
          <w:p w14:paraId="1D5EE57E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7.178 ∙ 10</w:t>
            </w:r>
            <w:r>
              <w:rPr>
                <w:vertAlign w:val="superscript"/>
                <w:lang w:val="en-US"/>
              </w:rPr>
              <w:t xml:space="preserve">-5</w:t>
            </w:r>
            <w:r>
              <w:rPr>
                <w:lang w:val="en-US"/>
              </w:rPr>
            </w:r>
          </w:p>
        </w:tc>
        <w:tc>
          <w:tcPr>
            <w:tcBorders/>
            <w:tcW w:w="1922" w:type="dxa"/>
          </w:tcPr>
          <w:p w14:paraId="44CC110B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1.35 ∙ 10</w:t>
            </w:r>
            <w:r>
              <w:rPr>
                <w:vertAlign w:val="superscript"/>
                <w:lang w:val="en-US"/>
              </w:rPr>
              <w:t xml:space="preserve">-4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876" w:type="dxa"/>
            <w:vMerge w:val="continue"/>
          </w:tcPr>
          <w:p w14:paraId="388BE64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73" w:type="dxa"/>
          </w:tcPr>
          <w:p w14:paraId="5188BCAF">
            <w:pPr>
              <w:pBdr/>
              <w:spacing/>
              <w:ind/>
              <w:rPr/>
            </w:pPr>
            <w:r>
              <w:t xml:space="preserve">Относительная</w:t>
            </w:r>
            <w:r/>
          </w:p>
        </w:tc>
        <w:tc>
          <w:tcPr>
            <w:tcBorders/>
            <w:tcW w:w="2095" w:type="dxa"/>
          </w:tcPr>
          <w:p w14:paraId="333C6F2A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6.164 ∙ 10</w:t>
            </w:r>
            <w:r>
              <w:rPr>
                <w:vertAlign w:val="superscript"/>
                <w:lang w:val="en-US"/>
              </w:rPr>
              <w:t xml:space="preserve">-5</w:t>
            </w:r>
            <w:r>
              <w:rPr>
                <w:lang w:val="en-US"/>
              </w:rPr>
            </w:r>
          </w:p>
        </w:tc>
        <w:tc>
          <w:tcPr>
            <w:tcBorders/>
            <w:tcW w:w="2149" w:type="dxa"/>
          </w:tcPr>
          <w:p w14:paraId="1BD97E30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0.318</w:t>
            </w:r>
            <w:r>
              <w:rPr>
                <w:lang w:val="en-US"/>
              </w:rPr>
            </w:r>
          </w:p>
        </w:tc>
        <w:tc>
          <w:tcPr>
            <w:tcBorders/>
            <w:tcW w:w="1922" w:type="dxa"/>
          </w:tcPr>
          <w:p w14:paraId="332F13C0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0.315</w:t>
            </w:r>
            <w:r>
              <w:rPr>
                <w:lang w:val="en-US"/>
              </w:rPr>
            </w:r>
          </w:p>
        </w:tc>
      </w:tr>
    </w:tbl>
    <w:p w14:paraId="0B949FEA">
      <w:pPr>
        <w:pBdr/>
        <w:spacing/>
        <w:ind w:left="567"/>
        <w:rPr/>
      </w:pPr>
      <w:r/>
      <w:r/>
    </w:p>
    <w:p w14:paraId="24B10AD6">
      <w:pPr>
        <w:pBdr/>
        <w:spacing/>
        <w:ind w:left="567"/>
        <w:rPr/>
      </w:pPr>
      <w:r>
        <w:t xml:space="preserve">Таблица 2 - Влияние количества шагов на коэффициент усиления погрешности.</w:t>
      </w:r>
      <w:r/>
    </w:p>
    <w:p w14:paraId="341C8FFA">
      <w:pPr>
        <w:pBdr/>
        <w:spacing/>
        <w:ind w:left="567"/>
        <w:rPr/>
      </w:pPr>
      <w:r/>
      <w:r/>
    </w:p>
    <w:tbl>
      <w:tblPr>
        <w:tblStyle w:val="765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081"/>
        <w:gridCol w:w="2008"/>
        <w:gridCol w:w="2008"/>
        <w:gridCol w:w="2009"/>
      </w:tblGrid>
      <w:tr>
        <w:trPr>
          <w:jc w:val="center"/>
        </w:trPr>
        <w:tc>
          <w:tcPr>
            <w:tcBorders/>
            <w:tcW w:w="2081" w:type="dxa"/>
            <w:vAlign w:val="center"/>
            <w:vMerge w:val="restart"/>
          </w:tcPr>
          <w:p w14:paraId="6B1488F8">
            <w:pPr>
              <w:pBdr/>
              <w:spacing/>
              <w:ind/>
              <w:rPr/>
            </w:pPr>
            <w:r>
              <w:t xml:space="preserve">Количество шагов</w:t>
            </w:r>
            <w:r/>
          </w:p>
        </w:tc>
        <w:tc>
          <w:tcPr>
            <w:gridSpan w:val="3"/>
            <w:tcBorders/>
            <w:tcW w:w="6025" w:type="dxa"/>
            <w:vAlign w:val="center"/>
          </w:tcPr>
          <w:p w14:paraId="4BF839F5">
            <w:pPr>
              <w:pBdr/>
              <w:spacing/>
              <w:ind/>
              <w:jc w:val="center"/>
              <w:rPr/>
            </w:pPr>
            <w:r>
              <w:t xml:space="preserve">Коэффициент усиления погрешности</w:t>
            </w:r>
            <w:r/>
          </w:p>
        </w:tc>
      </w:tr>
      <w:tr>
        <w:trPr>
          <w:jc w:val="center"/>
        </w:trPr>
        <w:tc>
          <w:tcPr>
            <w:tcBorders/>
            <w:tcW w:w="2081" w:type="dxa"/>
            <w:vAlign w:val="center"/>
            <w:vMerge w:val="continue"/>
          </w:tcPr>
          <w:p w14:paraId="4078CB6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08" w:type="dxa"/>
            <w:vAlign w:val="center"/>
          </w:tcPr>
          <w:p w14:paraId="33CFC2CE">
            <w:pPr>
              <w:pBdr/>
              <w:spacing/>
              <w:ind/>
              <w:jc w:val="center"/>
              <w:rPr/>
            </w:pPr>
            <w:r>
              <w:t xml:space="preserve">Метод Рунге-Кута</w:t>
            </w:r>
            <w:r/>
          </w:p>
        </w:tc>
        <w:tc>
          <w:tcPr>
            <w:tcBorders/>
            <w:tcW w:w="2008" w:type="dxa"/>
            <w:vAlign w:val="center"/>
          </w:tcPr>
          <w:p w14:paraId="6CAF4B2F">
            <w:pPr>
              <w:pBdr/>
              <w:spacing/>
              <w:ind/>
              <w:jc w:val="center"/>
              <w:rPr/>
            </w:pPr>
            <w:r>
              <w:t xml:space="preserve">Метод Эйлера</w:t>
            </w:r>
            <w:r/>
          </w:p>
        </w:tc>
        <w:tc>
          <w:tcPr>
            <w:tcBorders/>
            <w:tcW w:w="2009" w:type="dxa"/>
            <w:vAlign w:val="center"/>
          </w:tcPr>
          <w:p w14:paraId="1F3B6A04">
            <w:pPr>
              <w:pBdr/>
              <w:spacing/>
              <w:ind/>
              <w:jc w:val="center"/>
              <w:rPr/>
            </w:pPr>
            <w:r>
              <w:t xml:space="preserve">Неявный метод Эйлера</w:t>
            </w:r>
            <w:r/>
          </w:p>
        </w:tc>
      </w:tr>
      <w:tr>
        <w:trPr>
          <w:jc w:val="center"/>
        </w:trPr>
        <w:tc>
          <w:tcPr>
            <w:tcBorders/>
            <w:tcW w:w="2081" w:type="dxa"/>
          </w:tcPr>
          <w:p w14:paraId="0164BBD1">
            <w:pPr>
              <w:pBdr/>
              <w:spacing/>
              <w:ind/>
              <w:jc w:val="center"/>
              <w:rPr/>
            </w:pPr>
            <w:r>
              <w:t xml:space="preserve">50</w:t>
            </w:r>
            <w:r/>
          </w:p>
        </w:tc>
        <w:tc>
          <w:tcPr>
            <w:tcBorders/>
            <w:tcW w:w="2008" w:type="dxa"/>
          </w:tcPr>
          <w:p w14:paraId="02E1F315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0.735</w:t>
            </w:r>
            <w:r>
              <w:rPr>
                <w:lang w:val="en-US"/>
              </w:rPr>
            </w:r>
          </w:p>
        </w:tc>
        <w:tc>
          <w:tcPr>
            <w:tcBorders/>
            <w:tcW w:w="2008" w:type="dxa"/>
          </w:tcPr>
          <w:p w14:paraId="334EFB95">
            <w:pPr>
              <w:pBdr/>
              <w:spacing/>
              <w:ind/>
              <w:jc w:val="center"/>
              <w:rPr>
                <w:lang w:val="en-US"/>
              </w:rPr>
            </w:pPr>
            <w:r>
              <w:t xml:space="preserve">0</w:t>
            </w:r>
            <w:r>
              <w:rPr>
                <w:lang w:val="en-US"/>
              </w:rPr>
              <w:t xml:space="preserve">.36</w:t>
            </w:r>
            <w:r>
              <w:rPr>
                <w:lang w:val="en-US"/>
              </w:rPr>
            </w:r>
          </w:p>
        </w:tc>
        <w:tc>
          <w:tcPr>
            <w:tcBorders/>
            <w:tcW w:w="2009" w:type="dxa"/>
          </w:tcPr>
          <w:p w14:paraId="2A204B2C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0.738</w:t>
            </w:r>
            <w:r>
              <w:rPr>
                <w:lang w:val="en-US"/>
              </w:rPr>
            </w:r>
          </w:p>
        </w:tc>
      </w:tr>
      <w:tr>
        <w:trPr>
          <w:jc w:val="center"/>
        </w:trPr>
        <w:tc>
          <w:tcPr>
            <w:tcBorders/>
            <w:tcW w:w="2081" w:type="dxa"/>
          </w:tcPr>
          <w:p w14:paraId="48F49515">
            <w:pPr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2008" w:type="dxa"/>
          </w:tcPr>
          <w:p w14:paraId="7AE34BDC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0.847</w:t>
            </w:r>
            <w:r>
              <w:rPr>
                <w:lang w:val="en-US"/>
              </w:rPr>
            </w:r>
          </w:p>
        </w:tc>
        <w:tc>
          <w:tcPr>
            <w:tcBorders/>
            <w:tcW w:w="2008" w:type="dxa"/>
          </w:tcPr>
          <w:p w14:paraId="7D4B23B6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0.18</w:t>
            </w:r>
            <w:r>
              <w:rPr>
                <w:lang w:val="en-US"/>
              </w:rPr>
            </w:r>
          </w:p>
        </w:tc>
        <w:tc>
          <w:tcPr>
            <w:tcBorders/>
            <w:tcW w:w="2009" w:type="dxa"/>
          </w:tcPr>
          <w:p w14:paraId="7C34A208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0.824</w:t>
            </w:r>
            <w:r>
              <w:rPr>
                <w:lang w:val="en-US"/>
              </w:rPr>
            </w:r>
          </w:p>
        </w:tc>
      </w:tr>
      <w:tr>
        <w:trPr>
          <w:jc w:val="center"/>
        </w:trPr>
        <w:tc>
          <w:tcPr>
            <w:tcBorders/>
            <w:tcW w:w="2081" w:type="dxa"/>
          </w:tcPr>
          <w:p w14:paraId="74FC2F0A">
            <w:pPr>
              <w:pBdr/>
              <w:spacing/>
              <w:ind/>
              <w:jc w:val="center"/>
              <w:rPr/>
            </w:pPr>
            <w:r>
              <w:t xml:space="preserve">200</w:t>
            </w:r>
            <w:r/>
          </w:p>
        </w:tc>
        <w:tc>
          <w:tcPr>
            <w:tcBorders/>
            <w:tcW w:w="2008" w:type="dxa"/>
          </w:tcPr>
          <w:p w14:paraId="7F230026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0.917</w:t>
            </w:r>
            <w:r>
              <w:rPr>
                <w:lang w:val="en-US"/>
              </w:rPr>
            </w:r>
          </w:p>
        </w:tc>
        <w:tc>
          <w:tcPr>
            <w:tcBorders/>
            <w:tcW w:w="2008" w:type="dxa"/>
          </w:tcPr>
          <w:p w14:paraId="4F837BAC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0.09</w:t>
            </w:r>
            <w:r>
              <w:rPr>
                <w:lang w:val="en-US"/>
              </w:rPr>
            </w:r>
          </w:p>
        </w:tc>
        <w:tc>
          <w:tcPr>
            <w:tcBorders/>
            <w:tcW w:w="2009" w:type="dxa"/>
          </w:tcPr>
          <w:p w14:paraId="40CDFD73"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0.927</w:t>
            </w:r>
            <w:r>
              <w:rPr>
                <w:lang w:val="en-US"/>
              </w:rPr>
            </w:r>
          </w:p>
        </w:tc>
      </w:tr>
    </w:tbl>
    <w:p w14:paraId="04EB9F30">
      <w:pPr>
        <w:pBdr/>
        <w:spacing/>
        <w:ind w:left="567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082025D">
      <w:pPr>
        <w:pBdr/>
        <w:spacing w:line="360" w:lineRule="auto"/>
        <w:ind w:firstLine="567" w:left="567"/>
        <w:rPr/>
      </w:pPr>
      <w:r>
        <w:t xml:space="preserve">Как видно из табл. 1, увеличение числа шагов (уменьшение шага) ведет к увеличению погрешности округления и уменьшению точности конечного результата.</w:t>
      </w:r>
      <w:r/>
    </w:p>
    <w:p w14:paraId="3B71E203">
      <w:pPr>
        <w:pBdr/>
        <w:spacing w:line="360" w:lineRule="auto"/>
        <w:ind w:firstLine="567" w:left="567"/>
        <w:rPr/>
      </w:pPr>
      <w:r>
        <w:t xml:space="preserve">В таблице 2 представлена зависимость величины коэффициента усиления по</w:t>
      </w:r>
      <w:r>
        <w:t xml:space="preserve">грешности от величины шага. Метод Рунге-Кута и неявный метод Эйлера показывают одинаковые результаты с одинаковой тенденцией – уменьшение шага ведет к увеличению коэффициента усиления. Это означает, что с уменьшением шага ухудшается и устойчивость решения.</w:t>
      </w:r>
      <w:r/>
    </w:p>
    <w:p w14:paraId="059CA273">
      <w:pPr>
        <w:pBdr/>
        <w:spacing w:line="360" w:lineRule="auto"/>
        <w:ind w:firstLine="567" w:left="567"/>
        <w:rPr/>
      </w:pPr>
      <w:r>
        <w:t xml:space="preserve">Метод Эйлера показал обратный результат, и, в данном случае, уменьшение шага приводит к уменьшению коэффициента и, соответственно, к улучшению устойчивости решения. </w:t>
      </w:r>
      <w:r/>
    </w:p>
    <w:p w14:paraId="1D21EF82">
      <w:pPr>
        <w:pBdr/>
        <w:spacing w:line="360" w:lineRule="auto"/>
        <w:ind w:firstLine="567" w:left="567"/>
        <w:rPr/>
      </w:pPr>
      <w:r/>
      <w:r/>
    </w:p>
    <w:p w14:paraId="73C97277">
      <w:pPr>
        <w:pBdr/>
        <w:spacing/>
        <w:ind w:firstLine="567" w:left="567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E09FE43">
      <w:pPr>
        <w:pBdr/>
        <w:spacing/>
        <w:ind w:firstLine="567" w:left="567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8FF4E94">
      <w:pPr>
        <w:pBdr/>
        <w:spacing/>
        <w:ind w:firstLine="567" w:left="567"/>
        <w:jc w:val="center"/>
        <w:rPr>
          <w:b/>
          <w:sz w:val="28"/>
        </w:rPr>
      </w:pPr>
      <w:r>
        <w:rPr>
          <w:b/>
          <w:sz w:val="28"/>
        </w:rPr>
        <w:t xml:space="preserve">Заключение</w:t>
      </w:r>
      <w:r>
        <w:rPr>
          <w:b/>
          <w:sz w:val="28"/>
        </w:rPr>
      </w:r>
    </w:p>
    <w:p w14:paraId="6C63DD63">
      <w:pPr>
        <w:pBdr/>
        <w:spacing/>
        <w:ind w:firstLine="567" w:left="567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126F836B">
      <w:pPr>
        <w:pBdr/>
        <w:spacing w:line="360" w:lineRule="auto"/>
        <w:ind w:firstLine="567" w:left="567"/>
        <w:rPr/>
      </w:pPr>
      <w:r>
        <w:t xml:space="preserve">В ходе работы были реализованы три метода поиска решения ОДУ: метод Рунге-Кута, метод Эйлера и неявный метод Эйлера. Все три метода реализуют поиск решения, опираясь на заданный шаг. В </w:t>
      </w:r>
      <w:r>
        <w:t xml:space="preserve">ходе сравнения результатов было выявлено, что чрезмерное уменьшение шага приводит к накоплению вычислительной погрешности во всех трех методах и, соответственно, к ухудшению точности получаемого решения. Метод Рунге-Кута и неявный метод Эйлера также показа</w:t>
      </w:r>
      <w:r>
        <w:t xml:space="preserve">ли, что уменьшение шага приводит к увеличению коэффициента усиления погрешности, что в определенный момент может привести к неустойчивому решению. Метод Эйлера показал обратный результат – уменьшение шага приводит к лучшей устойчивости получаемого решения.</w:t>
      </w:r>
      <w:r/>
    </w:p>
    <w:p w14:paraId="2F10C249">
      <w:pPr>
        <w:pBdr/>
        <w:spacing w:line="360" w:lineRule="auto"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DBEC5D6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8F36BF0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182593A8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7E11FCEA">
      <w:pPr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0CF2DFB8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519989F5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  <w:t xml:space="preserve">Список литературы </w:t>
      </w:r>
      <w:r>
        <w:rPr>
          <w:b/>
          <w:sz w:val="28"/>
        </w:rPr>
      </w:r>
    </w:p>
    <w:p w14:paraId="62CFC099">
      <w:pPr>
        <w:pBdr/>
        <w:spacing/>
        <w:ind/>
        <w:rPr/>
      </w:pPr>
      <w:r/>
      <w:r/>
    </w:p>
    <w:p w14:paraId="135C64A8">
      <w:pPr>
        <w:pBdr/>
        <w:spacing w:line="360" w:lineRule="auto"/>
        <w:ind w:left="567"/>
        <w:rPr>
          <w:szCs w:val="28"/>
        </w:rPr>
      </w:pPr>
      <w:r>
        <w:rPr>
          <w:b/>
          <w:szCs w:val="28"/>
        </w:rPr>
        <w:t xml:space="preserve">1. </w:t>
      </w:r>
      <w:r>
        <w:rPr>
          <w:b/>
          <w:bCs/>
          <w:sz w:val="23"/>
          <w:szCs w:val="23"/>
        </w:rPr>
        <w:t xml:space="preserve">Киселевская, С.В., Ушаков, А.А. </w:t>
      </w:r>
      <w:r>
        <w:rPr>
          <w:sz w:val="23"/>
          <w:szCs w:val="23"/>
        </w:rPr>
        <w:t xml:space="preserve">Вычислительная математика. Численные методы [Текст]: учебное пособие. – Владивосток : Изд-во ВГУЭС, 2009. – 96 с.</w:t>
      </w:r>
      <w:r>
        <w:rPr>
          <w:szCs w:val="28"/>
        </w:rPr>
      </w:r>
    </w:p>
    <w:p w14:paraId="2B20A332">
      <w:pPr>
        <w:pBdr/>
        <w:spacing w:line="360" w:lineRule="auto"/>
        <w:ind w:left="567"/>
        <w:rPr>
          <w:b/>
          <w:szCs w:val="28"/>
        </w:rPr>
      </w:pPr>
      <w:r>
        <w:rPr>
          <w:b/>
          <w:szCs w:val="28"/>
        </w:rPr>
        <w:t xml:space="preserve">2.</w:t>
      </w:r>
      <w:r>
        <w:rPr>
          <w:szCs w:val="28"/>
        </w:rPr>
        <w:t xml:space="preserve"> </w:t>
      </w:r>
      <w:r>
        <w:rPr>
          <w:b/>
          <w:szCs w:val="28"/>
        </w:rPr>
        <w:t xml:space="preserve">Киреев В.И. </w:t>
      </w:r>
      <w:r>
        <w:rPr>
          <w:szCs w:val="28"/>
        </w:rPr>
        <w:t xml:space="preserve">Численные методы в примерах и задачах: Учеб. посо</w:t>
      </w:r>
      <w:r>
        <w:rPr>
          <w:szCs w:val="28"/>
        </w:rPr>
        <w:t xml:space="preserve">бие/В.И. Киреев, А.В. Пантелеев. — 3-е изд. стер. — М: Высш. шк., 2008. — 480 с: ил</w:t>
      </w:r>
      <w:r>
        <w:rPr>
          <w:b/>
          <w:szCs w:val="28"/>
        </w:rPr>
        <w:t xml:space="preserve">.</w:t>
      </w:r>
      <w:r>
        <w:rPr>
          <w:b/>
          <w:szCs w:val="28"/>
        </w:rPr>
      </w:r>
    </w:p>
    <w:p w14:paraId="4E93E091">
      <w:pPr>
        <w:pBdr/>
        <w:tabs>
          <w:tab w:val="left" w:leader="none" w:pos="2910"/>
        </w:tabs>
        <w:spacing w:line="360" w:lineRule="auto"/>
        <w:ind w:left="567"/>
        <w:rPr>
          <w:szCs w:val="28"/>
        </w:rPr>
      </w:pPr>
      <w:r>
        <w:rPr>
          <w:b/>
          <w:szCs w:val="28"/>
        </w:rPr>
        <w:t xml:space="preserve">3. Латыпов И.И</w:t>
      </w:r>
      <w:r>
        <w:rPr>
          <w:szCs w:val="28"/>
        </w:rPr>
        <w:t xml:space="preserve">. Численные методы. Лабораторный практикум: Учебное пособие для студентов физико-математического факультета по основам численных методов. Книга 1.– Бирск: Бирск.гос.соц.-пед.акад., 2007. – 94 с.</w:t>
      </w:r>
      <w:r>
        <w:rPr>
          <w:szCs w:val="28"/>
        </w:rPr>
      </w:r>
    </w:p>
    <w:p w14:paraId="67419891">
      <w:pPr>
        <w:pBdr/>
        <w:spacing w:line="360" w:lineRule="auto"/>
        <w:ind w:left="567"/>
        <w:rPr>
          <w:b/>
          <w:szCs w:val="28"/>
        </w:rPr>
      </w:pPr>
      <w:r>
        <w:rPr>
          <w:b/>
          <w:szCs w:val="28"/>
        </w:rPr>
        <w:t xml:space="preserve">4. Поршнев С. В., Беленкова И. В. </w:t>
      </w:r>
      <w:r>
        <w:rPr>
          <w:szCs w:val="28"/>
        </w:rPr>
        <w:t xml:space="preserve">Численные   методы   на   базе   Mathcad. СПб.;   БХВ-Петербург, 2005.      464 с: ил.</w:t>
      </w:r>
      <w:r>
        <w:rPr>
          <w:b/>
          <w:szCs w:val="28"/>
        </w:rPr>
      </w:r>
    </w:p>
    <w:p w14:paraId="5EBF16EE">
      <w:pPr>
        <w:pBdr/>
        <w:spacing w:line="360" w:lineRule="auto"/>
        <w:ind w:left="567"/>
        <w:rPr>
          <w:szCs w:val="28"/>
        </w:rPr>
      </w:pPr>
      <w:r>
        <w:rPr>
          <w:b/>
        </w:rPr>
        <w:t xml:space="preserve">5</w:t>
      </w:r>
      <w:r>
        <w:rPr>
          <w:b/>
          <w:szCs w:val="28"/>
        </w:rPr>
        <w:t xml:space="preserve">. Васильев А. Н.  </w:t>
      </w:r>
      <w:r>
        <w:rPr>
          <w:szCs w:val="28"/>
        </w:rPr>
        <w:t xml:space="preserve">Mathcad 13 на примерах. — СПб.:  БХВ-Петербург, 2006. — 528 с.: ил. </w:t>
      </w:r>
      <w:r>
        <w:rPr>
          <w:szCs w:val="28"/>
        </w:rPr>
      </w:r>
    </w:p>
    <w:p w14:paraId="4B189A2C">
      <w:pPr>
        <w:pBdr/>
        <w:spacing w:line="360" w:lineRule="auto"/>
        <w:ind w:left="567"/>
        <w:rPr>
          <w:szCs w:val="28"/>
        </w:rPr>
      </w:pPr>
      <w:r>
        <w:rPr>
          <w:szCs w:val="28"/>
        </w:rPr>
        <w:t xml:space="preserve">(Численное решение дифференциальных уравнений – стр. 460-468)</w:t>
      </w:r>
      <w:r>
        <w:rPr>
          <w:szCs w:val="28"/>
        </w:rPr>
      </w:r>
    </w:p>
    <w:p w14:paraId="4C96D216">
      <w:pPr>
        <w:pBdr/>
        <w:spacing/>
        <w:ind w:firstLine="567" w:left="567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71" w:right="720" w:bottom="567" w:left="720" w:header="142" w:footer="275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369918"/>
      <w:docPartObj>
        <w:docPartGallery w:val="autotext"/>
      </w:docPartObj>
      <w:rPr/>
    </w:sdtPr>
    <w:sdtContent>
      <w:p w14:paraId="60799C2B">
        <w:pPr>
          <w:pStyle w:val="763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 w14:paraId="53C45CA9">
    <w:pPr>
      <w:pStyle w:val="7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36E3EA">
    <w:pPr>
      <w:pStyle w:val="757"/>
      <w:pBdr/>
      <w:spacing/>
      <w:ind/>
      <w:jc w:val="center"/>
      <w:rPr/>
    </w:pPr>
    <w:r/>
    <w:r/>
  </w:p>
  <w:p w14:paraId="0AC93339">
    <w:pPr>
      <w:pStyle w:val="7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84D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C8612C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72697BA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b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b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nsid w:val="75A501F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47"/>
    <w:next w:val="74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7"/>
    <w:next w:val="74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7"/>
    <w:next w:val="74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7"/>
    <w:next w:val="74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7"/>
    <w:next w:val="74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7"/>
    <w:next w:val="74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7"/>
    <w:next w:val="74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7"/>
    <w:next w:val="74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49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9"/>
    <w:link w:val="7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7"/>
    <w:next w:val="74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7"/>
    <w:next w:val="74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7"/>
    <w:next w:val="74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9"/>
    <w:link w:val="757"/>
    <w:uiPriority w:val="99"/>
    <w:pPr>
      <w:pBdr/>
      <w:spacing/>
      <w:ind/>
    </w:pPr>
  </w:style>
  <w:style w:type="character" w:styleId="179">
    <w:name w:val="Footer Char"/>
    <w:basedOn w:val="749"/>
    <w:link w:val="763"/>
    <w:uiPriority w:val="99"/>
    <w:pPr>
      <w:pBdr/>
      <w:spacing/>
      <w:ind/>
    </w:pPr>
  </w:style>
  <w:style w:type="paragraph" w:styleId="181">
    <w:name w:val="footnote text"/>
    <w:basedOn w:val="74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character" w:styleId="185">
    <w:name w:val="Endnote Text Char"/>
    <w:basedOn w:val="749"/>
    <w:link w:val="755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47"/>
    <w:next w:val="747"/>
    <w:uiPriority w:val="39"/>
    <w:unhideWhenUsed/>
    <w:pPr>
      <w:pBdr/>
      <w:spacing w:after="100"/>
      <w:ind w:left="660"/>
    </w:pPr>
  </w:style>
  <w:style w:type="paragraph" w:styleId="193">
    <w:name w:val="toc 5"/>
    <w:basedOn w:val="747"/>
    <w:next w:val="747"/>
    <w:uiPriority w:val="39"/>
    <w:unhideWhenUsed/>
    <w:pPr>
      <w:pBdr/>
      <w:spacing w:after="100"/>
      <w:ind w:left="880"/>
    </w:pPr>
  </w:style>
  <w:style w:type="paragraph" w:styleId="194">
    <w:name w:val="toc 6"/>
    <w:basedOn w:val="747"/>
    <w:next w:val="747"/>
    <w:uiPriority w:val="39"/>
    <w:unhideWhenUsed/>
    <w:pPr>
      <w:pBdr/>
      <w:spacing w:after="100"/>
      <w:ind w:left="1100"/>
    </w:pPr>
  </w:style>
  <w:style w:type="paragraph" w:styleId="195">
    <w:name w:val="toc 7"/>
    <w:basedOn w:val="747"/>
    <w:next w:val="747"/>
    <w:uiPriority w:val="39"/>
    <w:unhideWhenUsed/>
    <w:pPr>
      <w:pBdr/>
      <w:spacing w:after="100"/>
      <w:ind w:left="1320"/>
    </w:pPr>
  </w:style>
  <w:style w:type="paragraph" w:styleId="196">
    <w:name w:val="toc 8"/>
    <w:basedOn w:val="747"/>
    <w:next w:val="747"/>
    <w:uiPriority w:val="39"/>
    <w:unhideWhenUsed/>
    <w:pPr>
      <w:pBdr/>
      <w:spacing w:after="100"/>
      <w:ind w:left="1540"/>
    </w:pPr>
  </w:style>
  <w:style w:type="paragraph" w:styleId="197">
    <w:name w:val="toc 9"/>
    <w:basedOn w:val="747"/>
    <w:next w:val="747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47"/>
    <w:next w:val="747"/>
    <w:uiPriority w:val="99"/>
    <w:unhideWhenUsed/>
    <w:pPr>
      <w:pBdr/>
      <w:spacing w:after="0" w:afterAutospacing="0"/>
      <w:ind/>
    </w:pPr>
  </w:style>
  <w:style w:type="paragraph" w:styleId="747" w:default="1">
    <w:name w:val="Normal"/>
    <w:uiPriority w:val="0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748">
    <w:name w:val="Heading 1"/>
    <w:basedOn w:val="747"/>
    <w:next w:val="747"/>
    <w:link w:val="774"/>
    <w:uiPriority w:val="0"/>
    <w:qFormat/>
    <w:pPr>
      <w:keepNext w:val="true"/>
      <w:pBdr/>
      <w:spacing w:after="60" w:before="240"/>
      <w:ind/>
      <w:outlineLvl w:val="0"/>
    </w:pPr>
    <w:rPr>
      <w:b/>
      <w:bCs/>
      <w:sz w:val="28"/>
      <w:szCs w:val="32"/>
    </w:rPr>
  </w:style>
  <w:style w:type="character" w:styleId="749" w:default="1">
    <w:name w:val="Default Paragraph Font"/>
    <w:uiPriority w:val="1"/>
    <w:semiHidden/>
    <w:unhideWhenUsed/>
    <w:qFormat/>
    <w:pPr>
      <w:pBdr/>
      <w:spacing/>
      <w:ind/>
    </w:pPr>
  </w:style>
  <w:style w:type="table" w:styleId="75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1">
    <w:name w:val="end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character" w:styleId="752">
    <w:name w:val="Hyperlink"/>
    <w:basedOn w:val="749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53">
    <w:name w:val="page number"/>
    <w:basedOn w:val="749"/>
    <w:uiPriority w:val="0"/>
    <w:pPr>
      <w:pBdr/>
      <w:spacing/>
      <w:ind/>
    </w:pPr>
  </w:style>
  <w:style w:type="paragraph" w:styleId="754">
    <w:name w:val="Balloon Text"/>
    <w:basedOn w:val="747"/>
    <w:link w:val="770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55">
    <w:name w:val="endnote text"/>
    <w:basedOn w:val="747"/>
    <w:link w:val="767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paragraph" w:styleId="756">
    <w:name w:val="Caption"/>
    <w:basedOn w:val="747"/>
    <w:next w:val="747"/>
    <w:uiPriority w:val="0"/>
    <w:qFormat/>
    <w:pPr>
      <w:pBdr/>
      <w:spacing/>
      <w:ind/>
      <w:jc w:val="center"/>
    </w:pPr>
    <w:rPr>
      <w:b/>
      <w:bCs/>
      <w:i/>
      <w:sz w:val="26"/>
      <w:szCs w:val="20"/>
    </w:rPr>
  </w:style>
  <w:style w:type="paragraph" w:styleId="757">
    <w:name w:val="Header"/>
    <w:basedOn w:val="747"/>
    <w:link w:val="777"/>
    <w:uiPriority w:val="99"/>
    <w:unhideWhenUsed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58">
    <w:name w:val="toc 1"/>
    <w:basedOn w:val="747"/>
    <w:next w:val="747"/>
    <w:uiPriority w:val="39"/>
    <w:unhideWhenUsed/>
    <w:qFormat/>
    <w:pPr>
      <w:pBdr/>
      <w:spacing w:after="100"/>
      <w:ind/>
    </w:pPr>
  </w:style>
  <w:style w:type="paragraph" w:styleId="759">
    <w:name w:val="toc 3"/>
    <w:basedOn w:val="747"/>
    <w:next w:val="747"/>
    <w:uiPriority w:val="39"/>
    <w:semiHidden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760">
    <w:name w:val="toc 2"/>
    <w:basedOn w:val="747"/>
    <w:next w:val="747"/>
    <w:uiPriority w:val="39"/>
    <w:semiHidden/>
    <w:qFormat/>
    <w:pPr>
      <w:pBdr/>
      <w:tabs>
        <w:tab w:val="right" w:leader="dot" w:pos="6662"/>
      </w:tabs>
      <w:spacing w:line="211" w:lineRule="auto"/>
      <w:ind w:left="284"/>
    </w:pPr>
    <w:rPr>
      <w:sz w:val="20"/>
      <w:szCs w:val="20"/>
    </w:rPr>
  </w:style>
  <w:style w:type="paragraph" w:styleId="761">
    <w:name w:val="Body Text Indent"/>
    <w:basedOn w:val="747"/>
    <w:link w:val="773"/>
    <w:uiPriority w:val="0"/>
    <w:qFormat/>
    <w:pPr>
      <w:pBdr/>
      <w:spacing w:after="120"/>
      <w:ind w:left="283"/>
    </w:pPr>
  </w:style>
  <w:style w:type="paragraph" w:styleId="762">
    <w:name w:val="Title"/>
    <w:basedOn w:val="747"/>
    <w:link w:val="766"/>
    <w:uiPriority w:val="99"/>
    <w:qFormat/>
    <w:pPr>
      <w:pBdr/>
      <w:spacing/>
      <w:ind/>
      <w:jc w:val="center"/>
    </w:pPr>
    <w:rPr>
      <w:b/>
      <w:bCs/>
      <w:i/>
      <w:sz w:val="26"/>
    </w:rPr>
  </w:style>
  <w:style w:type="paragraph" w:styleId="763">
    <w:name w:val="Footer"/>
    <w:basedOn w:val="747"/>
    <w:link w:val="778"/>
    <w:uiPriority w:val="99"/>
    <w:unhideWhenUsed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64">
    <w:name w:val="Normal (Web)"/>
    <w:basedOn w:val="747"/>
    <w:link w:val="787"/>
    <w:uiPriority w:val="99"/>
    <w:unhideWhenUsed/>
    <w:qFormat/>
    <w:pPr>
      <w:pBdr/>
      <w:spacing w:after="100" w:afterAutospacing="1" w:before="100" w:beforeAutospacing="1"/>
      <w:ind/>
    </w:pPr>
  </w:style>
  <w:style w:type="table" w:styleId="765">
    <w:name w:val="Table Grid"/>
    <w:basedOn w:val="750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6" w:customStyle="1">
    <w:name w:val="Название Знак"/>
    <w:basedOn w:val="749"/>
    <w:link w:val="762"/>
    <w:uiPriority w:val="99"/>
    <w:qFormat/>
    <w:pPr>
      <w:pBdr/>
      <w:spacing/>
      <w:ind/>
    </w:pPr>
    <w:rPr>
      <w:rFonts w:ascii="Times New Roman" w:hAnsi="Times New Roman" w:eastAsia="Times New Roman" w:cs="Times New Roman"/>
      <w:b/>
      <w:bCs/>
      <w:i/>
      <w:sz w:val="26"/>
      <w:szCs w:val="24"/>
      <w:lang w:eastAsia="ru-RU"/>
    </w:rPr>
  </w:style>
  <w:style w:type="character" w:styleId="767" w:customStyle="1">
    <w:name w:val="Текст концевой сноски Знак"/>
    <w:basedOn w:val="749"/>
    <w:link w:val="755"/>
    <w:uiPriority w:val="99"/>
    <w:semiHidden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68">
    <w:name w:val="Placeholder Text"/>
    <w:basedOn w:val="749"/>
    <w:uiPriority w:val="99"/>
    <w:semiHidden/>
    <w:qFormat/>
    <w:pPr>
      <w:pBdr/>
      <w:spacing/>
      <w:ind/>
    </w:pPr>
    <w:rPr>
      <w:color w:val="808080"/>
    </w:rPr>
  </w:style>
  <w:style w:type="paragraph" w:styleId="769">
    <w:name w:val="List Paragraph"/>
    <w:basedOn w:val="747"/>
    <w:uiPriority w:val="34"/>
    <w:qFormat/>
    <w:pPr>
      <w:pBdr/>
      <w:spacing/>
      <w:ind w:left="720"/>
      <w:contextualSpacing w:val="true"/>
    </w:pPr>
  </w:style>
  <w:style w:type="character" w:styleId="770" w:customStyle="1">
    <w:name w:val="Текст выноски Знак"/>
    <w:basedOn w:val="749"/>
    <w:link w:val="754"/>
    <w:uiPriority w:val="99"/>
    <w:semiHidden/>
    <w:qFormat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character" w:styleId="771" w:customStyle="1">
    <w:name w:val="spelle"/>
    <w:basedOn w:val="749"/>
    <w:uiPriority w:val="0"/>
    <w:qFormat/>
    <w:pPr>
      <w:pBdr/>
      <w:spacing/>
      <w:ind/>
    </w:pPr>
  </w:style>
  <w:style w:type="character" w:styleId="772" w:customStyle="1">
    <w:name w:val="grame"/>
    <w:basedOn w:val="749"/>
    <w:uiPriority w:val="0"/>
    <w:qFormat/>
    <w:pPr>
      <w:pBdr/>
      <w:spacing/>
      <w:ind/>
    </w:pPr>
  </w:style>
  <w:style w:type="character" w:styleId="773" w:customStyle="1">
    <w:name w:val="Основной текст с отступом Знак"/>
    <w:basedOn w:val="749"/>
    <w:link w:val="761"/>
    <w:uiPriority w:val="0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4" w:customStyle="1">
    <w:name w:val="Заголовок 1 Знак"/>
    <w:basedOn w:val="749"/>
    <w:link w:val="748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2"/>
      <w:lang w:eastAsia="ru-RU"/>
    </w:rPr>
  </w:style>
  <w:style w:type="paragraph" w:styleId="775" w:customStyle="1">
    <w:name w:val="Табл_Нум"/>
    <w:basedOn w:val="747"/>
    <w:uiPriority w:val="0"/>
    <w:qFormat/>
    <w:pPr>
      <w:pBdr/>
      <w:spacing/>
      <w:ind/>
      <w:jc w:val="right"/>
    </w:pPr>
    <w:rPr>
      <w:sz w:val="28"/>
      <w:szCs w:val="28"/>
    </w:rPr>
  </w:style>
  <w:style w:type="paragraph" w:styleId="776" w:customStyle="1">
    <w:name w:val="Табл_Заг"/>
    <w:basedOn w:val="747"/>
    <w:uiPriority w:val="0"/>
    <w:qFormat/>
    <w:pPr>
      <w:pBdr/>
      <w:spacing w:after="120" w:before="120" w:line="209" w:lineRule="auto"/>
      <w:ind/>
      <w:jc w:val="center"/>
    </w:pPr>
    <w:rPr>
      <w:b/>
      <w:bCs/>
      <w:sz w:val="20"/>
      <w:szCs w:val="20"/>
    </w:rPr>
  </w:style>
  <w:style w:type="character" w:styleId="777" w:customStyle="1">
    <w:name w:val="Верхний колонтитул Знак"/>
    <w:basedOn w:val="749"/>
    <w:link w:val="757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8" w:customStyle="1">
    <w:name w:val="Нижний колонтитул Знак"/>
    <w:basedOn w:val="749"/>
    <w:link w:val="763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9" w:customStyle="1">
    <w:name w:val="Текст Т"/>
    <w:basedOn w:val="747"/>
    <w:uiPriority w:val="0"/>
    <w:qFormat/>
    <w:pPr>
      <w:pBdr/>
      <w:spacing/>
      <w:ind/>
    </w:pPr>
    <w:rPr>
      <w:sz w:val="28"/>
    </w:rPr>
  </w:style>
  <w:style w:type="paragraph" w:styleId="780" w:customStyle="1">
    <w:name w:val="TOC Heading"/>
    <w:basedOn w:val="748"/>
    <w:next w:val="747"/>
    <w:uiPriority w:val="39"/>
    <w:unhideWhenUsed/>
    <w:qFormat/>
    <w:pPr>
      <w:keepLines w:val="true"/>
      <w:pBdr/>
      <w:spacing w:after="0" w:before="480" w:line="276" w:lineRule="auto"/>
      <w:ind/>
      <w:outlineLvl w:val="9"/>
    </w:pPr>
    <w:rPr>
      <w:rFonts w:asciiTheme="majorHAnsi" w:hAnsiTheme="majorHAnsi" w:eastAsiaTheme="majorEastAsia" w:cstheme="majorBidi"/>
      <w:color w:val="2e75b6" w:themeColor="accent1" w:themeShade="BF"/>
      <w:szCs w:val="28"/>
      <w:lang w:eastAsia="en-US"/>
    </w:rPr>
  </w:style>
  <w:style w:type="paragraph" w:styleId="781" w:customStyle="1">
    <w:name w:val="Текст абзаца"/>
    <w:basedOn w:val="747"/>
    <w:uiPriority w:val="0"/>
    <w:qFormat/>
    <w:pPr>
      <w:pBdr/>
      <w:spacing w:line="360" w:lineRule="auto"/>
      <w:ind w:firstLine="709"/>
      <w:jc w:val="both"/>
    </w:pPr>
    <w:rPr>
      <w:sz w:val="28"/>
    </w:rPr>
  </w:style>
  <w:style w:type="character" w:styleId="782" w:customStyle="1">
    <w:name w:val="apple-converted-space"/>
    <w:basedOn w:val="749"/>
    <w:uiPriority w:val="0"/>
    <w:qFormat/>
    <w:pPr>
      <w:pBdr/>
      <w:spacing/>
      <w:ind/>
    </w:pPr>
  </w:style>
  <w:style w:type="character" w:styleId="783" w:customStyle="1">
    <w:name w:val="mo"/>
    <w:basedOn w:val="749"/>
    <w:uiPriority w:val="0"/>
    <w:qFormat/>
    <w:pPr>
      <w:pBdr/>
      <w:spacing/>
      <w:ind/>
    </w:pPr>
  </w:style>
  <w:style w:type="character" w:styleId="784" w:customStyle="1">
    <w:name w:val="mi"/>
    <w:basedOn w:val="749"/>
    <w:uiPriority w:val="0"/>
    <w:qFormat/>
    <w:pPr>
      <w:pBdr/>
      <w:spacing/>
      <w:ind/>
    </w:pPr>
  </w:style>
  <w:style w:type="character" w:styleId="785" w:customStyle="1">
    <w:name w:val="mn"/>
    <w:basedOn w:val="749"/>
    <w:uiPriority w:val="0"/>
    <w:qFormat/>
    <w:pPr>
      <w:pBdr/>
      <w:spacing/>
      <w:ind/>
    </w:pPr>
  </w:style>
  <w:style w:type="paragraph" w:styleId="786" w:customStyle="1">
    <w:name w:val="Текст 1"/>
    <w:basedOn w:val="781"/>
    <w:uiPriority w:val="0"/>
    <w:qFormat/>
    <w:pPr>
      <w:pBdr/>
      <w:spacing/>
      <w:ind w:firstLine="0"/>
    </w:pPr>
  </w:style>
  <w:style w:type="character" w:styleId="787" w:customStyle="1">
    <w:name w:val="Обычный (веб) Знак"/>
    <w:basedOn w:val="749"/>
    <w:link w:val="764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88" w:customStyle="1">
    <w:name w:val="Default"/>
    <w:uiPriority w:val="0"/>
    <w:qFormat/>
    <w:pPr>
      <w:pBdr/>
      <w:spacing w:after="0" w:line="240" w:lineRule="auto"/>
      <w:ind/>
    </w:pPr>
    <w:rPr>
      <w:rFonts w:ascii="Arial" w:hAnsi="Arial" w:cs="Arial" w:eastAsiaTheme="minorHAnsi"/>
      <w:color w:val="000000"/>
      <w:sz w:val="24"/>
      <w:szCs w:val="24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wmf"/><Relationship Id="rId13" Type="http://schemas.openxmlformats.org/officeDocument/2006/relationships/oleObject" Target="embeddings/oleObject1.bin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wmf"/><Relationship Id="rId19" Type="http://schemas.openxmlformats.org/officeDocument/2006/relationships/oleObject" Target="embeddings/oleObject2.bin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wmf"/><Relationship Id="rId28" Type="http://schemas.openxmlformats.org/officeDocument/2006/relationships/oleObject" Target="embeddings/oleObject3.bin"/><Relationship Id="rId29" Type="http://schemas.openxmlformats.org/officeDocument/2006/relationships/image" Target="media/image15.wmf"/><Relationship Id="rId30" Type="http://schemas.openxmlformats.org/officeDocument/2006/relationships/oleObject" Target="embeddings/oleObject4.bin"/><Relationship Id="rId31" Type="http://schemas.openxmlformats.org/officeDocument/2006/relationships/image" Target="media/image16.png"/><Relationship Id="rId32" Type="http://schemas.openxmlformats.org/officeDocument/2006/relationships/image" Target="media/image17.wmf"/><Relationship Id="rId33" Type="http://schemas.openxmlformats.org/officeDocument/2006/relationships/oleObject" Target="embeddings/oleObject5.bin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wmf"/><Relationship Id="rId42" Type="http://schemas.openxmlformats.org/officeDocument/2006/relationships/oleObject" Target="embeddings/oleObject6.bin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EA3205B-9527-4AD7-9DAE-F762B7451B6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Кузьмин</dc:creator>
  <cp:revision>65</cp:revision>
  <dcterms:created xsi:type="dcterms:W3CDTF">2016-04-14T14:21:00Z</dcterms:created>
  <dcterms:modified xsi:type="dcterms:W3CDTF">2026-04-13T05:03:21Z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91520DEEDA584EE2806770891310CFC0_13</vt:lpwstr>
  </property>
</Properties>
</file>