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738"/>
      </w:pPr>
      <w:r>
        <w:rPr>
          <w:sz w:val="4"/>
        </w:rPr>
        <w:br/>
      </w:r>
    </w:p>
    <w:p>
      <w:pPr>
        <w:spacing w:before="800" w:after="120"/>
      </w:pPr>
      <w:r>
        <w:rPr>
          <w:b/>
          <w:color w:val="6366F1"/>
          <w:sz w:val="18"/>
        </w:rPr>
        <w:t>AIGENCY V4  ·  SWOT ANALYSIS</w:t>
      </w:r>
    </w:p>
    <w:p>
      <w:pPr>
        <w:spacing w:after="120"/>
      </w:pPr>
      <w:r>
        <w:rPr>
          <w:b/>
          <w:color w:val="0F1738"/>
          <w:sz w:val="68"/>
        </w:rPr>
        <w:t>Strengths, Weaknesses, Opportunities, Threats</w:t>
      </w:r>
    </w:p>
    <w:p>
      <w:pPr>
        <w:spacing w:after="200"/>
      </w:pPr>
      <w:r>
        <w:rPr>
          <w:color w:val="0F1738"/>
          <w:sz w:val="28"/>
        </w:rPr>
        <w:t>One internal-realist page + one marketing-framed page</w:t>
      </w:r>
    </w:p>
    <w:p>
      <w:pPr>
        <w:spacing w:after="120"/>
      </w:pPr>
      <w:r>
        <w:rPr>
          <w:i/>
          <w:color w:val="6B7280"/>
          <w:sz w:val="19"/>
        </w:rPr>
        <w:t>Version 1.0  ·  April 2026  ·  Prepared for marketing distribution</w:t>
      </w:r>
    </w:p>
    <w:p>
      <w:pPr>
        <w:pBdr>
          <w:bottom w:val="single" w:sz="8" w:space="1" w:color="6366F1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Section A — Internal View (Realistic)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This section supports realistic decision-making by the board, engineering, and strategy teams; every item is backed by score data or production-ops data.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Strengths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World-leading on Turkish reading comprehension and natural-language inference (Belebele-TR 87.33, TQuAD 82.40, TR-MMLU 70.80, XNLI-TR 73.40, TR Grammar 79.00).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Frontier-level on grade-school math (GSM8K 94.62) and scientific reasoning (ARC-Challenge 94.88).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Fully sovereign architecture: zero external parameter dependency inherited from V3, KVKK-resident hosting.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Transparent measurement: 13,344 real API calls, Wilson 95% CI, deterministic subsample, open datasets.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278K-token context window + HBM 3-tier memory + TG-Decay (frontier offers KV-cache only).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Legal-statute corpus 412 GB / 20M decisions — data no other model worldwide possesses.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RLHF Turkish tone: 109 evaluators, 73% average preference rate.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99.5% SLA, 98.4% auto-recovery — stable production operation inherited from V3.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Weaknesses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GPQA Diamond (37.88) and MMLU-Pro (50.20) trail the frontier by 35-50pp — graduate-level expert-knowledge gap.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first production release: MMMU 53.33, MathVista 34.13 — 20-40pp behind frontier vision models.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Latency 2-3× the frontier: avg 9.55s vs 3-5s, p95 32.77s vs 8-12s.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safety filter false-positive rate 10-15% in V4.0.0 (hotfix V4.0.1: 2%).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DocVQA n=24 and MMMU n=30 — subsample size insufficient for multimodal evaluation, CIs are wide.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Brand recognition lower than frontier models (especially outside Türkiye).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Developer ecosystem (libraries, plug-ins, SDKs) not as broad as the frontier's.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No published multilingual (non-TR) score profile — limits global-scale claim.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Opportunities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Turkish government has announced 2025-2027 sovereign-AI procurement budget — public market is accessible.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EU AI Act (ratified 2025) creates a 'sovereign-data' advantage in the high-risk classification.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Turkish + closely related Turkic languages (Azerbaijani, Turkmen, Kazakh) — combined 200M+ user base.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20M-decision corpus → comprehensive legal-tech market in Türkiye; two-tier service via Tural model.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Academic open-sourcing roadmap (HBM/CCW Apache-2.0, vision encoder AGPL) → ecosystem leverage.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V4.1 (Q4 2026): vision encoder 8B → 16B, MMLU-Pro 0.65, GPQA 0.55, latency 4s — closes frontier gap.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Multimodal OCR + Turkish document processing — gap on Turkish handwritten/historical document handling.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As frontier prices stay high, demand for open-source sovereign alternatives grows.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Threats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 prices are dropping (GPT-5 mini, Claude Haiku 4.5) — small customers shifting there.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Open-source models (Llama 4, Qwen 3, DeepSeek V4) can compete with Turkish fine-tuning.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Aggressive recruiting in the Turkish talent market by frontier companies — engineer-retention risk.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Customer-education cost: takes time to seat the 'AIGENCY plays a different market than frontier' narrative.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GPU-supply constraints (H100/H200/B200) — V4.1 training-delay risk.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Frontier providers opening TR DCs (e.g. AWS Türkiye, Azure Türkiye) → sovereign edge may erode.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If multimodal expectations stay frontier-anchored, 'in development' looks like a weakness in market view.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Regulatory change: KVKK harmonisation with EU GDPR could reduce the sovereignty advantage.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Section B — Marketing View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i/>
          <w:color w:val="111827"/>
          <w:sz w:val="21"/>
        </w:rPr>
        <w:t>This section is for sales, marketing and investor materials; the same four quadrants are reframed in assertive language and customer-benefit framing.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Our Strengths — What We Bring to Market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Turkish Leader:  </w:t>
      </w:r>
      <w:r>
        <w:rPr>
          <w:color w:val="111827"/>
          <w:sz w:val="21"/>
        </w:rPr>
        <w:t>World #1 Turkish reading model with Belebele-TR 87.33 — no frontier publication.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Frontier Math:  </w:t>
      </w:r>
      <w:r>
        <w:rPr>
          <w:color w:val="111827"/>
          <w:sz w:val="21"/>
        </w:rPr>
        <w:t>GSM8K 94.62 — same band as GPT-5. No other Turkish-built model is at this level.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Sovereign Data:  </w:t>
      </w:r>
      <w:r>
        <w:rPr>
          <w:color w:val="111827"/>
          <w:sz w:val="21"/>
        </w:rPr>
        <w:t>Native KVKK §5/§12 + Türkiye DC + GPG-signed training. Reason-to-buy for public and regulated sectors.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Transparency:  </w:t>
      </w:r>
      <w:r>
        <w:rPr>
          <w:color w:val="111827"/>
          <w:sz w:val="21"/>
        </w:rPr>
        <w:t>13,344 measured calls, Wilson 95% CI, open datasets — no frontier rival is this transparent.</w:t>
      </w:r>
    </w:p>
    <w:p>
      <w:pPr>
        <w:spacing w:after="160"/>
        <w:ind w:left="283"/>
        <w:pBdr>
          <w:left w:val="single" w:sz="24" w:space="8" w:color="10B981"/>
        </w:pBdr>
        <w:shd w:val="clear" w:color="auto" w:fill="ECFDF5"/>
      </w:pPr>
      <w:r>
        <w:rPr>
          <w:b/>
          <w:color w:val="10B981"/>
          <w:sz w:val="21"/>
        </w:rPr>
        <w:t xml:space="preserve">278K Memory:  </w:t>
      </w:r>
      <w:r>
        <w:rPr>
          <w:color w:val="111827"/>
          <w:sz w:val="21"/>
        </w:rPr>
        <w:t>HBM 3-tier + TG-Decay = cross-session memory. Customer context retained for hours, days.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Our Weaknesses — Transparent Communication</w:t>
      </w:r>
    </w:p>
    <w:p>
      <w:pPr>
        <w:spacing w:after="160"/>
        <w:ind w:left="283"/>
        <w:pBdr>
          <w:left w:val="single" w:sz="24" w:space="8" w:color="F59E0B"/>
        </w:pBdr>
        <w:shd w:val="clear" w:color="auto" w:fill="FFFBEB"/>
      </w:pPr>
      <w:r>
        <w:rPr>
          <w:b/>
          <w:color w:val="F59E0B"/>
          <w:sz w:val="21"/>
        </w:rPr>
        <w:t xml:space="preserve">Graduate Science:  </w:t>
      </w:r>
      <w:r>
        <w:rPr>
          <w:color w:val="111827"/>
          <w:sz w:val="21"/>
        </w:rPr>
        <w:t>On GPQA Diamond and MMLU-Pro we are in development until V4.1 — frontier is required for expert science.</w:t>
      </w:r>
    </w:p>
    <w:p>
      <w:pPr>
        <w:spacing w:after="160"/>
        <w:ind w:left="283"/>
        <w:pBdr>
          <w:left w:val="single" w:sz="24" w:space="8" w:color="F59E0B"/>
        </w:pBdr>
        <w:shd w:val="clear" w:color="auto" w:fill="FFFBEB"/>
      </w:pPr>
      <w:r>
        <w:rPr>
          <w:b/>
          <w:color w:val="F59E0B"/>
          <w:sz w:val="21"/>
        </w:rPr>
        <w:t xml:space="preserve">First-Gen Multimodal:  </w:t>
      </w:r>
      <w:r>
        <w:rPr>
          <w:color w:val="111827"/>
          <w:sz w:val="21"/>
        </w:rPr>
        <w:t>Visual-understanding is a first production release. Competitive parity expected with V4.1's 16B vision encoder.</w:t>
      </w:r>
    </w:p>
    <w:p>
      <w:pPr>
        <w:spacing w:after="160"/>
        <w:ind w:left="283"/>
        <w:pBdr>
          <w:left w:val="single" w:sz="24" w:space="8" w:color="F59E0B"/>
        </w:pBdr>
        <w:shd w:val="clear" w:color="auto" w:fill="FFFBEB"/>
      </w:pPr>
      <w:r>
        <w:rPr>
          <w:b/>
          <w:color w:val="F59E0B"/>
          <w:sz w:val="21"/>
        </w:rPr>
        <w:t xml:space="preserve">Latency:  </w:t>
      </w:r>
      <w:r>
        <w:rPr>
          <w:color w:val="111827"/>
          <w:sz w:val="21"/>
        </w:rPr>
        <w:t>Currently avg 9.55s, frontier 3-5s. V4.1 target 4s. This is stated openly in customer SLAs.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Our Opportunities — Market Message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Sovereign-AI Demand:  </w:t>
      </w:r>
      <w:r>
        <w:rPr>
          <w:color w:val="111827"/>
          <w:sz w:val="21"/>
        </w:rPr>
        <w:t>Combined Türkiye public + finance + healthcare + defence market &gt; USD 1.5B/year.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Legal-Tech Race:  </w:t>
      </w:r>
      <w:r>
        <w:rPr>
          <w:color w:val="111827"/>
          <w:sz w:val="21"/>
        </w:rPr>
        <w:t>20M-decision corpus is an unmatched dataset. No other model in Türkiye can match this depth on legal.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Turkic Geography:  </w:t>
      </w:r>
      <w:r>
        <w:rPr>
          <w:color w:val="111827"/>
          <w:sz w:val="21"/>
        </w:rPr>
        <w:t>TR + Turkic-family languages total 200M users. Multilingual is on the V5 roadmap.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EU AI Act:  </w:t>
      </w:r>
      <w:r>
        <w:rPr>
          <w:color w:val="111827"/>
          <w:sz w:val="21"/>
        </w:rPr>
        <w:t>Regulatory framework rewards sovereign models — preferred for Türkiye and Turkish-investment EU markets.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Threats — Risk Management</w:t>
      </w:r>
    </w:p>
    <w:p>
      <w:pPr>
        <w:spacing w:after="160"/>
        <w:ind w:left="283"/>
        <w:pBdr>
          <w:left w:val="single" w:sz="24" w:space="8" w:color="EC4899"/>
        </w:pBdr>
        <w:shd w:val="clear" w:color="auto" w:fill="FDF2F8"/>
      </w:pPr>
      <w:r>
        <w:rPr>
          <w:b/>
          <w:color w:val="EC4899"/>
          <w:sz w:val="21"/>
        </w:rPr>
        <w:t xml:space="preserve">Frontier Price Drop:  </w:t>
      </w:r>
      <w:r>
        <w:rPr>
          <w:color w:val="111827"/>
          <w:sz w:val="21"/>
        </w:rPr>
        <w:t>GPT-5 mini, Claude Haiku 4.5 may attract smaller customers. Counter: KVKK + TR-resident + long-context differentiation.</w:t>
      </w:r>
    </w:p>
    <w:p>
      <w:pPr>
        <w:spacing w:after="160"/>
        <w:ind w:left="283"/>
        <w:pBdr>
          <w:left w:val="single" w:sz="24" w:space="8" w:color="EC4899"/>
        </w:pBdr>
        <w:shd w:val="clear" w:color="auto" w:fill="FDF2F8"/>
      </w:pPr>
      <w:r>
        <w:rPr>
          <w:b/>
          <w:color w:val="EC4899"/>
          <w:sz w:val="21"/>
        </w:rPr>
        <w:t xml:space="preserve">Open-source TR Fine-tune:  </w:t>
      </w:r>
      <w:r>
        <w:rPr>
          <w:color w:val="111827"/>
          <w:sz w:val="21"/>
        </w:rPr>
        <w:t>Llama 4 / Qwen 3 / DeepSeek V4 may add Turkish fine-tunes. Counter: 20M-decision corpus + KVKK hosting unmatched.</w:t>
      </w:r>
    </w:p>
    <w:p>
      <w:pPr>
        <w:spacing w:after="160"/>
        <w:ind w:left="283"/>
        <w:pBdr>
          <w:left w:val="single" w:sz="24" w:space="8" w:color="EC4899"/>
        </w:pBdr>
        <w:shd w:val="clear" w:color="auto" w:fill="FDF2F8"/>
      </w:pPr>
      <w:r>
        <w:rPr>
          <w:b/>
          <w:color w:val="EC4899"/>
          <w:sz w:val="21"/>
        </w:rPr>
        <w:t xml:space="preserve">Talent Drain:  </w:t>
      </w:r>
      <w:r>
        <w:rPr>
          <w:color w:val="111827"/>
          <w:sz w:val="21"/>
        </w:rPr>
        <w:t>Frontier firms recruit aggressively. Counter: scientific publication rights + ESOP + 'national project' narrative in Türkiye.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0F1738"/>
          <w:sz w:val="32"/>
        </w:rPr>
        <w:t>Conclusion — One-Line Marketing Position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AIGENCY V4 —  </w:t>
      </w:r>
      <w:r>
        <w:rPr>
          <w:color w:val="111827"/>
          <w:sz w:val="21"/>
        </w:rPr>
        <w:t>A globally competitive, fully sovereign, KVKK-resident frontier-adjacent AI model designed for Turkish. The default choice for Türkiye and Turkic-geography workloads, and a strategic alternative themed on transparency and sovereignty within the global landscape.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© 2026 eCloud Yazılım Teknolojileri  ·  Page  · 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eCloud  ·  AIGENCY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