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F1738"/>
      </w:pPr>
      <w:r>
        <w:rPr>
          <w:sz w:val="4"/>
        </w:rPr>
        <w:br/>
      </w:r>
    </w:p>
    <w:p>
      <w:pPr>
        <w:spacing w:before="800" w:after="120"/>
      </w:pPr>
      <w:r>
        <w:rPr>
          <w:b/>
          <w:color w:val="6366F1"/>
          <w:sz w:val="18"/>
        </w:rPr>
        <w:t>AIGENCY V4  ·  STRATEGIC USE-CASE NARRATIVE</w:t>
      </w:r>
    </w:p>
    <w:p>
      <w:pPr>
        <w:spacing w:after="120"/>
      </w:pPr>
      <w:r>
        <w:rPr>
          <w:b/>
          <w:color w:val="0F1738"/>
          <w:sz w:val="68"/>
        </w:rPr>
        <w:t>Where and How It Is Used</w:t>
      </w:r>
    </w:p>
    <w:p>
      <w:pPr>
        <w:spacing w:after="200"/>
      </w:pPr>
      <w:r>
        <w:rPr>
          <w:color w:val="0F1738"/>
          <w:sz w:val="28"/>
        </w:rPr>
        <w:t>V4's score profile translated into deployment strategy across 8 industries</w:t>
      </w:r>
    </w:p>
    <w:p>
      <w:pPr>
        <w:spacing w:after="120"/>
      </w:pPr>
      <w:r>
        <w:rPr>
          <w:i/>
          <w:color w:val="6B7280"/>
          <w:sz w:val="19"/>
        </w:rPr>
        <w:t>Version 1.0  ·  April 2026  ·  Prepared for marketing distribution</w:t>
      </w:r>
    </w:p>
    <w:p>
      <w:pPr>
        <w:pBdr>
          <w:bottom w:val="single" w:sz="8" w:space="1" w:color="6366F1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Strategic Narrative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2"/>
        </w:rPr>
        <w:t>AIGENCY V4's one-line global value proposition is this: the default choice for any enterprise AI workload that operates on Turkish content, must remain KVKK-compliant and data-resident, and requires long-document processing.</w:t>
      </w:r>
    </w:p>
    <w:p>
      <w:pPr>
        <w:spacing w:after="160"/>
        <w:ind w:left="283"/>
        <w:pBdr>
          <w:left w:val="single" w:sz="24" w:space="8" w:color="6366F1"/>
        </w:pBdr>
        <w:shd w:val="clear" w:color="auto" w:fill="F8FAFF"/>
      </w:pPr>
      <w:r>
        <w:rPr>
          <w:b/>
          <w:color w:val="6366F1"/>
          <w:sz w:val="21"/>
        </w:rPr>
        <w:t xml:space="preserve">Strategic narrative in one line:  </w:t>
      </w:r>
      <w:r>
        <w:rPr>
          <w:color w:val="111827"/>
          <w:sz w:val="21"/>
        </w:rPr>
        <w:t>Rather than an open intelligence war against frontier models, we focus on markets where the combination 'frontier-adjacent + fully sovereign' is unmatched: Turkish-heavy and KVKK-resident workloads.</w:t>
      </w: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Industry selection is not arbitrary; each sector is justified directly by V4's scores. If V4 underperforms a frontier model on a benchmark central to the workload, we do not prioritise that workload.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1. Public Sector and Government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Why AIGENCY: KVKK §5/§12 compliance, Türkiye DC residency, GPG-signed transparent training pipeline, #1 position on Turkish text via Belebele-TR 87.33 / TQuAD 82.40. Frontier models' offshore residency is a direct regulatory blocker.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Inter-ministerial document QA (4M+ statutes, regulations): most accurate extractive QA via TQuAD 82.40.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Citizen-service assistant (e-Government integration): strong Turkish instruction following — TR-MMLU 70.80, IFEval 80.22.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Judicial support (the 20M-decision corpus is already in training data): integrates with the dedicated Tural model for legal-statute domain.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Tender specification analysis, statute scanning: full document in a single 278K context window.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2. Legal and Legal-Tech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Why AIGENCY: Yargıtay, Danıştay, ECHR, Official Gazette, TBMM minutes — a unique 20M-decision + statute corpus, used by no other model worldwide. Turkish XNLI 73.40 → frontier-level for contract-interpretation classification.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Case-law search and precedent finding: 278K context, multi-document semantic drift 0.9%.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Contract risk scanning: XNLI-TR 73.40, comparable on legal MMLU-Pro sub-domains.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Client-summary briefings: TQuAD 82.40 + RLHF-calibrated Turkish professional tone.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Court-decision classification &amp; summarisation: sequential pipeline with Tural (the 20M-decision specialist model).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3. Education and Higher Education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Why AIGENCY: TR-MMLU 70.80 (Turkish academic), MMLU 80.10 (general), GSM8K 94.62 (math), TR Grammar 79.00 (grammar) — outside of frontier, the best Turkish-educational profile available. ARC-Challenge 94.88 → frontier-level accuracy on science exams.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High-school / university course assistant (Turkish): TR-MMLU + Belebele-TR pair brings native-language depth.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YKS/LGS exam-prep platforms: STEM exam profile via GSM8K 94.62, ARC 94.88.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Turkish software-education: reliable code teaching via HumanEval 84.15, MBPP 84.82.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Academic-paper review: full-paper QA in a single 278K context.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4. Banking, Finance and Insurance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Why AIGENCY: Turkish-heavy KYC/AML documents, BDDK compliance text, Turkish contracts — areas where the Turkish-grammar errors of international models can create regulator-facing problems. KVKK-resident hosting is mandatory.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KYC document understanding (ID, address, income proof): TR Grammar 79.00 + ChartQA 67.68.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Turkish risk-report summarisation: TQuAD 82.40, IFEval 80.22.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Contract compliance checking: XNLI-TR 73.40 + multimodal DocVQA 79.17.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Customer-service text assistant (Turkish): RLHF Turkish tone.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5. Healthcare and Hospital Systems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Why AIGENCY: KVKK + medical-data sensitivity → fully sovereign is mandatory. 30 GB of anatomical/medical visual training data (patient-consent), Turkish medical-literature comprehension. NOTE: not for clinical diagnosis — for administrative and documentation workloads.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Patient-record summarisation (Turkish anamnesis): TQuAD 82.40, sensitive data on-prem.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Billing &amp; SGK code mapping: structured Turkish text processing.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Clinical-protocol Turkish translation/adaptation: TR-MMLU 70.80.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Drug leaflets and patient-information materials: grammar precision via TR Grammar 79.00.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6. Media, Publishing and Content Production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Why AIGENCY: Turkish orthographic rules, idiom/proverb sensitivity, editorial tone — qualities that frontier models lose in Turkish translation. TR Grammar 79.00 + RLHF Turkish calibration = professional publication quality.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News-room redaction and grammar review: TR Grammar 79.00.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Turkish subtitle / dubbing-script production: cultural tone via Turkish-first training.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Publishing redaction: book-length single-shot through 278K context.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Corporate-communications Turkish editor: IFEval 80.22 → instruction adherence.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7. Defence and Critical Infrastructure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Why AIGENCY: a domain where 'no non-frontier alternative' is unacceptable — but offshore residency, closed source, and unaudited models are equally unacceptable. Fully sovereign architecture, GPG-signed training, in-country DC, open-source roadmap → the rational default for defence.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Intelligence-report Turkish summarisation &amp; classification: 278K context + KVKK-resident.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Logistics &amp; supply analysis: Turkish-tender document processing.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Training-simulation Turkish interaction: TR Grammar + RLHF.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Open-source code audit: HumanEval 84.15, MBPP 84.82.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8. Software, R&amp;D and Engineering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Why AIGENCY: HumanEval 84.15 / MBPP+ 78.04 → frontier upper-mid code competence. Large-codebase analysis with 278K context. #1 for Turkish variable-naming and technical documentation.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Code-review assistant (Turkish explanation): HumanEval 84.15 + Turkish tone.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Documentation production (TR-EN bilingual): MMLU 80.10 + TR-MMLU 70.80.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API-spec → client-code generation: MBPP 84.82.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Legacy-system Turkish comment-cleanup: 278K + grammar.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Conclusion — Market Prioritisation</w:t>
      </w:r>
    </w:p>
    <w:p>
      <w:pPr>
        <w:pBdr>
          <w:bottom w:val="single" w:sz="8" w:space="1" w:color="6366F1"/>
        </w:pBdr>
      </w:pP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551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Sector</w:t>
            </w:r>
          </w:p>
        </w:tc>
        <w:tc>
          <w:tcPr>
            <w:tcW w:type="dxa" w:w="2268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Score fit</w:t>
            </w:r>
          </w:p>
        </w:tc>
        <w:tc>
          <w:tcPr>
            <w:tcW w:type="dxa" w:w="2551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Market size (TR)</w:t>
            </w:r>
          </w:p>
        </w:tc>
        <w:tc>
          <w:tcPr>
            <w:tcW w:type="dxa" w:w="2268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Public / Government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Very high (KVKK + TR)</w:t>
            </w:r>
          </w:p>
        </w:tc>
        <w:tc>
          <w:tcPr>
            <w:tcW w:type="dxa" w:w="255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Very large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P0 — Launch market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Legal / Legal-tech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Very high (Tural synergy)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Large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P0 — Launch market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Education / Higher-ed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High</w:t>
            </w:r>
          </w:p>
        </w:tc>
        <w:tc>
          <w:tcPr>
            <w:tcW w:type="dxa" w:w="255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Very large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P1 — Early growth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Banking &amp; Finance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High (KVKK)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Large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P1 — Early growth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Defence &amp; Critical infra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Very high</w:t>
            </w:r>
          </w:p>
        </w:tc>
        <w:tc>
          <w:tcPr>
            <w:tcW w:type="dxa" w:w="255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Medium (high value)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P1 — Strategic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Healthcare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High (KVKK)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Large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P2 — Post-development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Media &amp; Publishing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High</w:t>
            </w:r>
          </w:p>
        </w:tc>
        <w:tc>
          <w:tcPr>
            <w:tcW w:type="dxa" w:w="255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Medium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P2 — Sustainable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Software / R&amp;D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Medium-High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Large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P2 — Post V4.1</w:t>
            </w:r>
          </w:p>
        </w:tc>
      </w:tr>
    </w:tbl>
    <w:p/>
    <w:p>
      <w:pPr>
        <w:spacing w:after="160"/>
        <w:ind w:left="283"/>
        <w:pBdr>
          <w:left w:val="single" w:sz="24" w:space="8" w:color="6366F1"/>
        </w:pBdr>
        <w:shd w:val="clear" w:color="auto" w:fill="F8FAFF"/>
      </w:pPr>
      <w:r>
        <w:rPr>
          <w:b/>
          <w:color w:val="6366F1"/>
          <w:sz w:val="21"/>
        </w:rPr>
        <w:t xml:space="preserve">Strategic preference:  </w:t>
      </w:r>
      <w:r>
        <w:rPr>
          <w:color w:val="111827"/>
          <w:sz w:val="21"/>
        </w:rPr>
        <w:t>In the first 18 months we focus on P0 + P1 sectors. P2 sectors receive investment after V4.1 (latency ≤4s, GPQA ≥0.55). This prioritisation translates V4's actual score profile into a defensible market claim.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 xml:space="preserve">© 2026 eCloud Yazılım Teknolojileri  ·  Page  ·  </w:t>
    </w:r>
    <w:r>
      <w:fldChar w:fldCharType="begin"/>
    </w:r>
    <w:r>
      <w:instrText xml:space="preserve">PAGE</w:instrText>
    </w:r>
    <w:r>
      <w:fldChar w:fldCharType="end"/>
    </w:r>
    <w:r>
      <w:rPr>
        <w:color w:val="6B7280"/>
        <w:sz w:val="18"/>
      </w:rPr>
      <w:t xml:space="preserve"> /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6B7280"/>
        <w:sz w:val="18"/>
      </w:rPr>
      <w:t>eCloud  ·  AIGENCY 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