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hd w:val="clear" w:color="auto" w:fill="0F1738"/>
      </w:pPr>
      <w:r>
        <w:rPr>
          <w:sz w:val="4"/>
        </w:rPr>
        <w:br/>
      </w:r>
    </w:p>
    <w:p>
      <w:pPr>
        <w:spacing w:before="800" w:after="120"/>
      </w:pPr>
      <w:r>
        <w:rPr>
          <w:b/>
          <w:color w:val="6366F1"/>
          <w:sz w:val="18"/>
        </w:rPr>
        <w:t>AIGENCY V4  ·  STRATEJİK KULLANIM ANLATISI</w:t>
      </w:r>
    </w:p>
    <w:p>
      <w:pPr>
        <w:spacing w:after="120"/>
      </w:pPr>
      <w:r>
        <w:rPr>
          <w:b/>
          <w:color w:val="0F1738"/>
          <w:sz w:val="68"/>
        </w:rPr>
        <w:t>Hangi Sektörlerde, Nasıl Kullanılır?</w:t>
      </w:r>
    </w:p>
    <w:p>
      <w:pPr>
        <w:spacing w:after="200"/>
      </w:pPr>
      <w:r>
        <w:rPr>
          <w:color w:val="0F1738"/>
          <w:sz w:val="28"/>
        </w:rPr>
        <w:t>V4'ün skor profili, 8 sektörde uygulamaya çevrilen stratejik anlatı</w:t>
      </w:r>
    </w:p>
    <w:p>
      <w:pPr>
        <w:spacing w:after="120"/>
      </w:pPr>
      <w:r>
        <w:rPr>
          <w:i/>
          <w:color w:val="6B7280"/>
          <w:sz w:val="19"/>
        </w:rPr>
        <w:t>Sürüm 1.0  ·  Nisan 2026  ·  Pazarlama dağıtımı için hazırlanmıştır</w:t>
      </w:r>
    </w:p>
    <w:p>
      <w:pPr>
        <w:pBdr>
          <w:bottom w:val="single" w:sz="8" w:space="1" w:color="6366F1"/>
        </w:pBdr>
      </w:pPr>
    </w:p>
    <w:p>
      <w:pPr>
        <w:pStyle w:val="Heading1"/>
        <w:spacing w:before="400" w:after="160"/>
      </w:pPr>
      <w:r>
        <w:rPr>
          <w:rFonts w:ascii="Calibri" w:hAnsi="Calibri"/>
          <w:b/>
          <w:color w:val="0F1738"/>
          <w:sz w:val="44"/>
        </w:rPr>
        <w:t>Stratejik Anlatı</w:t>
      </w:r>
    </w:p>
    <w:p>
      <w:pPr>
        <w:pBdr>
          <w:bottom w:val="single" w:sz="8" w:space="1" w:color="6366F1"/>
        </w:pBdr>
      </w:pPr>
    </w:p>
    <w:p>
      <w:pPr>
        <w:spacing w:after="120" w:line="300" w:lineRule="auto"/>
        <w:jc w:val="both"/>
      </w:pPr>
      <w:r>
        <w:rPr>
          <w:rFonts w:ascii="Calibri" w:hAnsi="Calibri"/>
          <w:color w:val="111827"/>
          <w:sz w:val="22"/>
        </w:rPr>
        <w:t>AIGENCY V4'ün küresel manzaradaki tek-cümle değer önermesi şudur: Türkçe içerik üzerinde çalışan, KVKK-uyumlu ve veri-egemen olması gereken, uzun belge işlemeyi gerektiren her kurumsal yapay zekâ iş yükü için varsayılan tercih.</w:t>
      </w:r>
    </w:p>
    <w:p>
      <w:pPr>
        <w:spacing w:after="160"/>
        <w:ind w:left="283"/>
        <w:pBdr>
          <w:left w:val="single" w:sz="24" w:space="8" w:color="6366F1"/>
        </w:pBdr>
        <w:shd w:val="clear" w:color="auto" w:fill="F8FAFF"/>
      </w:pPr>
      <w:r>
        <w:rPr>
          <w:b/>
          <w:color w:val="6366F1"/>
          <w:sz w:val="21"/>
        </w:rPr>
        <w:t xml:space="preserve">Stratejik anlatı bir cümle:  </w:t>
      </w:r>
      <w:r>
        <w:rPr>
          <w:color w:val="111827"/>
          <w:sz w:val="21"/>
        </w:rPr>
        <w:t>Frontier modellerle açık zekâ savaşı yerine, Türkçe-yoğun ve KVKK-yerel kalması zorunlu olan iş yüklerinde 'Frontier-yakını + tam yerli' kombinasyonunun kıyasla rakipsiz olduğu pazarlara odaklanırız.</w:t>
      </w:r>
    </w:p>
    <w:p>
      <w:pPr>
        <w:spacing w:after="120" w:line="300" w:lineRule="auto"/>
        <w:jc w:val="both"/>
      </w:pPr>
      <w:r>
        <w:rPr>
          <w:rFonts w:ascii="Calibri" w:hAnsi="Calibri"/>
          <w:color w:val="111827"/>
          <w:sz w:val="21"/>
        </w:rPr>
        <w:t>Sektör seçimi rastgele değildir; her sektör V4'ün skorlarıyla doğrudan haklılaştırılmıştır. Bir sektörde V4'ün bir frontier modelden daha kötü olduğu bir benchmark varsa, o iş yükünü öncelik listesine almıyoruz.</w:t>
      </w:r>
    </w:p>
    <w:p>
      <w:pPr>
        <w:pStyle w:val="Heading1"/>
        <w:spacing w:before="400" w:after="160"/>
      </w:pPr>
      <w:r>
        <w:rPr>
          <w:rFonts w:ascii="Calibri" w:hAnsi="Calibri"/>
          <w:b/>
          <w:color w:val="0F1738"/>
          <w:sz w:val="44"/>
        </w:rPr>
        <w:t>1. Kamu Sektörü ve Devlet Kurumları</w:t>
      </w:r>
    </w:p>
    <w:p>
      <w:pPr>
        <w:pBdr>
          <w:bottom w:val="single" w:sz="8" w:space="1" w:color="6366F1"/>
        </w:pBdr>
      </w:pPr>
    </w:p>
    <w:p>
      <w:pPr>
        <w:spacing w:after="120" w:line="300" w:lineRule="auto"/>
        <w:jc w:val="both"/>
      </w:pPr>
      <w:r>
        <w:rPr>
          <w:rFonts w:ascii="Calibri" w:hAnsi="Calibri"/>
          <w:color w:val="111827"/>
          <w:sz w:val="21"/>
        </w:rPr>
        <w:t>Niçin AIGENCY: KVKK §5/§12 uyumu, Türkiye DC barındırma, GPG-imzalı şeffaf eğitim hattı, Belebele-TR 87.33 / TQuAD 82.40 ile Türkçe metin işlemede #1 konum. Frontier modellerin yurt dışı barındırması doğrudan yasal engeldir.</w:t>
      </w:r>
    </w:p>
    <w:p>
      <w:pPr>
        <w:pStyle w:val="ListBullet"/>
        <w:spacing w:line="300" w:lineRule="auto" w:after="40"/>
      </w:pPr>
      <w:r>
        <w:rPr>
          <w:rFonts w:ascii="Calibri" w:hAnsi="Calibri"/>
          <w:color w:val="111827"/>
          <w:sz w:val="21"/>
        </w:rPr>
        <w:t>Bakanlık içi belge soru-cevap (4M+ kararname, yönetmelik): TQuAD 82.40 ile en doğru extractive QA.</w:t>
      </w:r>
    </w:p>
    <w:p>
      <w:pPr>
        <w:pStyle w:val="ListBullet"/>
        <w:spacing w:line="300" w:lineRule="auto" w:after="40"/>
      </w:pPr>
      <w:r>
        <w:rPr>
          <w:rFonts w:ascii="Calibri" w:hAnsi="Calibri"/>
          <w:color w:val="111827"/>
          <w:sz w:val="21"/>
        </w:rPr>
        <w:t>Vatandaş hizmet asistanı (e-Devlet entegrasyonu): TR-MMLU 70.80, IFEval 80.22 — Türkçe talimat takibi güçlü.</w:t>
      </w:r>
    </w:p>
    <w:p>
      <w:pPr>
        <w:pStyle w:val="ListBullet"/>
        <w:spacing w:line="300" w:lineRule="auto" w:after="40"/>
      </w:pPr>
      <w:r>
        <w:rPr>
          <w:rFonts w:ascii="Calibri" w:hAnsi="Calibri"/>
          <w:color w:val="111827"/>
          <w:sz w:val="21"/>
        </w:rPr>
        <w:t>Yargı destek (20M karar derlemi zaten eğitim verisi içinde): hukuk-mevzuat alanı için Tural modeli ile entegre.</w:t>
      </w:r>
    </w:p>
    <w:p>
      <w:pPr>
        <w:pStyle w:val="ListBullet"/>
        <w:spacing w:line="300" w:lineRule="auto" w:after="40"/>
      </w:pPr>
      <w:r>
        <w:rPr>
          <w:rFonts w:ascii="Calibri" w:hAnsi="Calibri"/>
          <w:color w:val="111827"/>
          <w:sz w:val="21"/>
        </w:rPr>
        <w:t>İhale şartname analizi, tezkere taraması: 278K bağlam penceresi tam belge tek seferde.</w:t>
      </w:r>
    </w:p>
    <w:p>
      <w:pPr>
        <w:pStyle w:val="Heading1"/>
        <w:spacing w:before="400" w:after="160"/>
      </w:pPr>
      <w:r>
        <w:rPr>
          <w:rFonts w:ascii="Calibri" w:hAnsi="Calibri"/>
          <w:b/>
          <w:color w:val="0F1738"/>
          <w:sz w:val="44"/>
        </w:rPr>
        <w:t>2. Hukuk ve Hukuk Teknolojileri</w:t>
      </w:r>
    </w:p>
    <w:p>
      <w:pPr>
        <w:pBdr>
          <w:bottom w:val="single" w:sz="8" w:space="1" w:color="6366F1"/>
        </w:pBdr>
      </w:pPr>
    </w:p>
    <w:p>
      <w:pPr>
        <w:spacing w:after="120" w:line="300" w:lineRule="auto"/>
        <w:jc w:val="both"/>
      </w:pPr>
      <w:r>
        <w:rPr>
          <w:rFonts w:ascii="Calibri" w:hAnsi="Calibri"/>
          <w:color w:val="111827"/>
          <w:sz w:val="21"/>
        </w:rPr>
        <w:t>Niçin AIGENCY: Yargıtay, Danıştay, AİHM, Resmi Gazete, TBMM zabıtları — 20M karar + mevzuatın derleme aşamasında olduğu, dünyada başka model tarafından kullanılmamış benzersiz veri tabanı. Türkçe XNLI 73.40 → sözleşme yorumlama sınıflandırma için frontier-seviye.</w:t>
      </w:r>
    </w:p>
    <w:p>
      <w:pPr>
        <w:pStyle w:val="ListBullet"/>
        <w:spacing w:line="300" w:lineRule="auto" w:after="40"/>
      </w:pPr>
      <w:r>
        <w:rPr>
          <w:rFonts w:ascii="Calibri" w:hAnsi="Calibri"/>
          <w:color w:val="111827"/>
          <w:sz w:val="21"/>
        </w:rPr>
        <w:t>İçtihat arama ve emsal karar bulma: 278K bağlam, çok-belge anlamsal sapma %0.9.</w:t>
      </w:r>
    </w:p>
    <w:p>
      <w:pPr>
        <w:pStyle w:val="ListBullet"/>
        <w:spacing w:line="300" w:lineRule="auto" w:after="40"/>
      </w:pPr>
      <w:r>
        <w:rPr>
          <w:rFonts w:ascii="Calibri" w:hAnsi="Calibri"/>
          <w:color w:val="111827"/>
          <w:sz w:val="21"/>
        </w:rPr>
        <w:t>Sözleşme risk taraması: XNLI-TR 73.40, MMLU-Pro hukuk alt-konularında benzer.</w:t>
      </w:r>
    </w:p>
    <w:p>
      <w:pPr>
        <w:pStyle w:val="ListBullet"/>
        <w:spacing w:line="300" w:lineRule="auto" w:after="40"/>
      </w:pPr>
      <w:r>
        <w:rPr>
          <w:rFonts w:ascii="Calibri" w:hAnsi="Calibri"/>
          <w:color w:val="111827"/>
          <w:sz w:val="21"/>
        </w:rPr>
        <w:t>Müvekkil özet brifing: TQuAD 82.40 + RLHF kalibrasyonu Türkçe profesyonel ton.</w:t>
      </w:r>
    </w:p>
    <w:p>
      <w:pPr>
        <w:pStyle w:val="ListBullet"/>
        <w:spacing w:line="300" w:lineRule="auto" w:after="40"/>
      </w:pPr>
      <w:r>
        <w:rPr>
          <w:rFonts w:ascii="Calibri" w:hAnsi="Calibri"/>
          <w:color w:val="111827"/>
          <w:sz w:val="21"/>
        </w:rPr>
        <w:t>Mahkeme kararı sınıflandırma ve özet: Tural (20M-karar uzman model) ile sıralı pipeline.</w:t>
      </w:r>
    </w:p>
    <w:p>
      <w:pPr>
        <w:pStyle w:val="Heading1"/>
        <w:spacing w:before="400" w:after="160"/>
      </w:pPr>
      <w:r>
        <w:rPr>
          <w:rFonts w:ascii="Calibri" w:hAnsi="Calibri"/>
          <w:b/>
          <w:color w:val="0F1738"/>
          <w:sz w:val="44"/>
        </w:rPr>
        <w:t>3. Eğitim ve Yükseköğretim</w:t>
      </w:r>
    </w:p>
    <w:p>
      <w:pPr>
        <w:pBdr>
          <w:bottom w:val="single" w:sz="8" w:space="1" w:color="6366F1"/>
        </w:pBdr>
      </w:pPr>
    </w:p>
    <w:p>
      <w:pPr>
        <w:spacing w:after="120" w:line="300" w:lineRule="auto"/>
        <w:jc w:val="both"/>
      </w:pPr>
      <w:r>
        <w:rPr>
          <w:rFonts w:ascii="Calibri" w:hAnsi="Calibri"/>
          <w:color w:val="111827"/>
          <w:sz w:val="21"/>
        </w:rPr>
        <w:t>Niçin AIGENCY: TR-MMLU 70.80 (Türkçe akademik), MMLU 80.10 (genel), GSM8K 94.62 (matematik), TR Grammar 79.00 (dilbilgisi) — frontier dışında Türkçe eğitim için en iyi profil. ARC-Challenge 94.88 → fen sınavlarında frontier-seviye doğruluk.</w:t>
      </w:r>
    </w:p>
    <w:p>
      <w:pPr>
        <w:pStyle w:val="ListBullet"/>
        <w:spacing w:line="300" w:lineRule="auto" w:after="40"/>
      </w:pPr>
      <w:r>
        <w:rPr>
          <w:rFonts w:ascii="Calibri" w:hAnsi="Calibri"/>
          <w:color w:val="111827"/>
          <w:sz w:val="21"/>
        </w:rPr>
        <w:t>Lise/üniversite ders asistanı (Türkçe): TR-MMLU + Belebele-TR ikilisi anadil zenginliği.</w:t>
      </w:r>
    </w:p>
    <w:p>
      <w:pPr>
        <w:pStyle w:val="ListBullet"/>
        <w:spacing w:line="300" w:lineRule="auto" w:after="40"/>
      </w:pPr>
      <w:r>
        <w:rPr>
          <w:rFonts w:ascii="Calibri" w:hAnsi="Calibri"/>
          <w:color w:val="111827"/>
          <w:sz w:val="21"/>
        </w:rPr>
        <w:t>YKS/LGS hazırlık platformları: GSM8K 94.62, ARC 94.88 → STEM sınav profili.</w:t>
      </w:r>
    </w:p>
    <w:p>
      <w:pPr>
        <w:pStyle w:val="ListBullet"/>
        <w:spacing w:line="300" w:lineRule="auto" w:after="40"/>
      </w:pPr>
      <w:r>
        <w:rPr>
          <w:rFonts w:ascii="Calibri" w:hAnsi="Calibri"/>
          <w:color w:val="111827"/>
          <w:sz w:val="21"/>
        </w:rPr>
        <w:t>Türkçe yazılım eğitimi: HumanEval 84.15, MBPP 84.82 → kod öğretiminde güvenilir.</w:t>
      </w:r>
    </w:p>
    <w:p>
      <w:pPr>
        <w:pStyle w:val="ListBullet"/>
        <w:spacing w:line="300" w:lineRule="auto" w:after="40"/>
      </w:pPr>
      <w:r>
        <w:rPr>
          <w:rFonts w:ascii="Calibri" w:hAnsi="Calibri"/>
          <w:color w:val="111827"/>
          <w:sz w:val="21"/>
        </w:rPr>
        <w:t>Akademik makale taraması: 278K bağlam ile tam-makale soru-cevap.</w:t>
      </w:r>
    </w:p>
    <w:p>
      <w:pPr>
        <w:pStyle w:val="Heading1"/>
        <w:spacing w:before="400" w:after="160"/>
      </w:pPr>
      <w:r>
        <w:rPr>
          <w:rFonts w:ascii="Calibri" w:hAnsi="Calibri"/>
          <w:b/>
          <w:color w:val="0F1738"/>
          <w:sz w:val="44"/>
        </w:rPr>
        <w:t>4. Bankacılık, Finans ve Sigorta</w:t>
      </w:r>
    </w:p>
    <w:p>
      <w:pPr>
        <w:pBdr>
          <w:bottom w:val="single" w:sz="8" w:space="1" w:color="6366F1"/>
        </w:pBdr>
      </w:pPr>
    </w:p>
    <w:p>
      <w:pPr>
        <w:spacing w:after="120" w:line="300" w:lineRule="auto"/>
        <w:jc w:val="both"/>
      </w:pPr>
      <w:r>
        <w:rPr>
          <w:rFonts w:ascii="Calibri" w:hAnsi="Calibri"/>
          <w:color w:val="111827"/>
          <w:sz w:val="21"/>
        </w:rPr>
        <w:t>Niçin AIGENCY: Türkçe-yoğun KYC/AML belgeleri, BDDK uyum metinleri, Türkçe sözleşmeler — uluslararası modellerin Türkçe gramer hatasıyla regulator nezdinde sorun yaratabildiği alanlar. KVKK-yerel barındırma şart.</w:t>
      </w:r>
    </w:p>
    <w:p>
      <w:pPr>
        <w:pStyle w:val="ListBullet"/>
        <w:spacing w:line="300" w:lineRule="auto" w:after="40"/>
      </w:pPr>
      <w:r>
        <w:rPr>
          <w:rFonts w:ascii="Calibri" w:hAnsi="Calibri"/>
          <w:color w:val="111827"/>
          <w:sz w:val="21"/>
        </w:rPr>
        <w:t>KYC belge anlama (kimlik, ikametgâh, gelir belgesi): TR Grammar 79.00 + ChartQA 67.68.</w:t>
      </w:r>
    </w:p>
    <w:p>
      <w:pPr>
        <w:pStyle w:val="ListBullet"/>
        <w:spacing w:line="300" w:lineRule="auto" w:after="40"/>
      </w:pPr>
      <w:r>
        <w:rPr>
          <w:rFonts w:ascii="Calibri" w:hAnsi="Calibri"/>
          <w:color w:val="111827"/>
          <w:sz w:val="21"/>
        </w:rPr>
        <w:t>Risk raporu Türkçe özetleme: TQuAD 82.40, IFEval 80.22.</w:t>
      </w:r>
    </w:p>
    <w:p>
      <w:pPr>
        <w:pStyle w:val="ListBullet"/>
        <w:spacing w:line="300" w:lineRule="auto" w:after="40"/>
      </w:pPr>
      <w:r>
        <w:rPr>
          <w:rFonts w:ascii="Calibri" w:hAnsi="Calibri"/>
          <w:color w:val="111827"/>
          <w:sz w:val="21"/>
        </w:rPr>
        <w:t>Sözleşme uyum kontrolü: XNLI-TR 73.40 + multimodal DocVQA 79.17.</w:t>
      </w:r>
    </w:p>
    <w:p>
      <w:pPr>
        <w:pStyle w:val="ListBullet"/>
        <w:spacing w:line="300" w:lineRule="auto" w:after="40"/>
      </w:pPr>
      <w:r>
        <w:rPr>
          <w:rFonts w:ascii="Calibri" w:hAnsi="Calibri"/>
          <w:color w:val="111827"/>
          <w:sz w:val="21"/>
        </w:rPr>
        <w:t>Müşteri hizmet asistanı (Türkçe ses-yok, metin): RLHF Türkçe tonu.</w:t>
      </w:r>
    </w:p>
    <w:p>
      <w:pPr>
        <w:pStyle w:val="Heading1"/>
        <w:spacing w:before="400" w:after="160"/>
      </w:pPr>
      <w:r>
        <w:rPr>
          <w:rFonts w:ascii="Calibri" w:hAnsi="Calibri"/>
          <w:b/>
          <w:color w:val="0F1738"/>
          <w:sz w:val="44"/>
        </w:rPr>
        <w:t>5. Sağlık ve Hastane Sistemleri</w:t>
      </w:r>
    </w:p>
    <w:p>
      <w:pPr>
        <w:pBdr>
          <w:bottom w:val="single" w:sz="8" w:space="1" w:color="6366F1"/>
        </w:pBdr>
      </w:pPr>
    </w:p>
    <w:p>
      <w:pPr>
        <w:spacing w:after="120" w:line="300" w:lineRule="auto"/>
        <w:jc w:val="both"/>
      </w:pPr>
      <w:r>
        <w:rPr>
          <w:rFonts w:ascii="Calibri" w:hAnsi="Calibri"/>
          <w:color w:val="111827"/>
          <w:sz w:val="21"/>
        </w:rPr>
        <w:t>Niçin AIGENCY: KVKK + sağlık verisi hassasiyeti → tam yerli zorunlu. 30 GB anatomik/tıbbi görsel eğitim verisi (hasta-onamlı), Türkçe tıbbi literatür anlama. NOT: tıbbi tanı için değil, idari/dokümantasyon için.</w:t>
      </w:r>
    </w:p>
    <w:p>
      <w:pPr>
        <w:pStyle w:val="ListBullet"/>
        <w:spacing w:line="300" w:lineRule="auto" w:after="40"/>
      </w:pPr>
      <w:r>
        <w:rPr>
          <w:rFonts w:ascii="Calibri" w:hAnsi="Calibri"/>
          <w:color w:val="111827"/>
          <w:sz w:val="21"/>
        </w:rPr>
        <w:t>Hasta dosyası özeti (Türkçe anamnez): TQuAD 82.40, hassas veri yerli.</w:t>
      </w:r>
    </w:p>
    <w:p>
      <w:pPr>
        <w:pStyle w:val="ListBullet"/>
        <w:spacing w:line="300" w:lineRule="auto" w:after="40"/>
      </w:pPr>
      <w:r>
        <w:rPr>
          <w:rFonts w:ascii="Calibri" w:hAnsi="Calibri"/>
          <w:color w:val="111827"/>
          <w:sz w:val="21"/>
        </w:rPr>
        <w:t>Faturalama ve SGK kod eşleştirme: yapısal Türkçe metin işleme.</w:t>
      </w:r>
    </w:p>
    <w:p>
      <w:pPr>
        <w:pStyle w:val="ListBullet"/>
        <w:spacing w:line="300" w:lineRule="auto" w:after="40"/>
      </w:pPr>
      <w:r>
        <w:rPr>
          <w:rFonts w:ascii="Calibri" w:hAnsi="Calibri"/>
          <w:color w:val="111827"/>
          <w:sz w:val="21"/>
        </w:rPr>
        <w:t>Klinik araştırma protokolü Türkçe çeviri/uyum: TR-MMLU 70.80.</w:t>
      </w:r>
    </w:p>
    <w:p>
      <w:pPr>
        <w:pStyle w:val="ListBullet"/>
        <w:spacing w:line="300" w:lineRule="auto" w:after="40"/>
      </w:pPr>
      <w:r>
        <w:rPr>
          <w:rFonts w:ascii="Calibri" w:hAnsi="Calibri"/>
          <w:color w:val="111827"/>
          <w:sz w:val="21"/>
        </w:rPr>
        <w:t>İlaç prospektüsü ve hasta bilgilendirme metinleri: dilbilgisi titizliği TR Grammar 79.00.</w:t>
      </w:r>
    </w:p>
    <w:p>
      <w:pPr>
        <w:pStyle w:val="Heading1"/>
        <w:spacing w:before="400" w:after="160"/>
      </w:pPr>
      <w:r>
        <w:rPr>
          <w:rFonts w:ascii="Calibri" w:hAnsi="Calibri"/>
          <w:b/>
          <w:color w:val="0F1738"/>
          <w:sz w:val="44"/>
        </w:rPr>
        <w:t>6. Medya, Yayıncılık ve İçerik Üretimi</w:t>
      </w:r>
    </w:p>
    <w:p>
      <w:pPr>
        <w:pBdr>
          <w:bottom w:val="single" w:sz="8" w:space="1" w:color="6366F1"/>
        </w:pBdr>
      </w:pPr>
    </w:p>
    <w:p>
      <w:pPr>
        <w:spacing w:after="120" w:line="300" w:lineRule="auto"/>
        <w:jc w:val="both"/>
      </w:pPr>
      <w:r>
        <w:rPr>
          <w:rFonts w:ascii="Calibri" w:hAnsi="Calibri"/>
          <w:color w:val="111827"/>
          <w:sz w:val="21"/>
        </w:rPr>
        <w:t>Niçin AIGENCY: Türkçe yazım kuralları, deyim/atasözü hassasiyeti, editoryal ton — frontier modellerin Türkçe çevirilerinde kaybettiği niteliklerdir. TR Grammar 79.00 + RLHF Türkçe kalibrasyon = profesyonel yayın kalitesi.</w:t>
      </w:r>
    </w:p>
    <w:p>
      <w:pPr>
        <w:pStyle w:val="ListBullet"/>
        <w:spacing w:line="300" w:lineRule="auto" w:after="40"/>
      </w:pPr>
      <w:r>
        <w:rPr>
          <w:rFonts w:ascii="Calibri" w:hAnsi="Calibri"/>
          <w:color w:val="111827"/>
          <w:sz w:val="21"/>
        </w:rPr>
        <w:t>Haber redaksiyonu ve dilbilgisi denetimi: TR Grammar 79.00.</w:t>
      </w:r>
    </w:p>
    <w:p>
      <w:pPr>
        <w:pStyle w:val="ListBullet"/>
        <w:spacing w:line="300" w:lineRule="auto" w:after="40"/>
      </w:pPr>
      <w:r>
        <w:rPr>
          <w:rFonts w:ascii="Calibri" w:hAnsi="Calibri"/>
          <w:color w:val="111827"/>
          <w:sz w:val="21"/>
        </w:rPr>
        <w:t>Türkçe alt yazı / dublaj script üretimi: kültürel ton Türkçe-öncelikli eğitim.</w:t>
      </w:r>
    </w:p>
    <w:p>
      <w:pPr>
        <w:pStyle w:val="ListBullet"/>
        <w:spacing w:line="300" w:lineRule="auto" w:after="40"/>
      </w:pPr>
      <w:r>
        <w:rPr>
          <w:rFonts w:ascii="Calibri" w:hAnsi="Calibri"/>
          <w:color w:val="111827"/>
          <w:sz w:val="21"/>
        </w:rPr>
        <w:t>Yayıncılık metin redaksiyonu: 278K bağlam → kitap-uzunluğu tek-seferde.</w:t>
      </w:r>
    </w:p>
    <w:p>
      <w:pPr>
        <w:pStyle w:val="ListBullet"/>
        <w:spacing w:line="300" w:lineRule="auto" w:after="40"/>
      </w:pPr>
      <w:r>
        <w:rPr>
          <w:rFonts w:ascii="Calibri" w:hAnsi="Calibri"/>
          <w:color w:val="111827"/>
          <w:sz w:val="21"/>
        </w:rPr>
        <w:t>Kurumsal iletişim Türkçe redaktör: IFEval 80.22 → talimat takibi.</w:t>
      </w:r>
    </w:p>
    <w:p>
      <w:pPr>
        <w:pStyle w:val="Heading1"/>
        <w:spacing w:before="400" w:after="160"/>
      </w:pPr>
      <w:r>
        <w:rPr>
          <w:rFonts w:ascii="Calibri" w:hAnsi="Calibri"/>
          <w:b/>
          <w:color w:val="0F1738"/>
          <w:sz w:val="44"/>
        </w:rPr>
        <w:t>7. Savunma ve Kritik Altyapı</w:t>
      </w:r>
    </w:p>
    <w:p>
      <w:pPr>
        <w:pBdr>
          <w:bottom w:val="single" w:sz="8" w:space="1" w:color="6366F1"/>
        </w:pBdr>
      </w:pPr>
    </w:p>
    <w:p>
      <w:pPr>
        <w:spacing w:after="120" w:line="300" w:lineRule="auto"/>
        <w:jc w:val="both"/>
      </w:pPr>
      <w:r>
        <w:rPr>
          <w:rFonts w:ascii="Calibri" w:hAnsi="Calibri"/>
          <w:color w:val="111827"/>
          <w:sz w:val="21"/>
        </w:rPr>
        <w:t>Niçin AIGENCY: 'Frontier dışı seçenek olamaz' diyen bir alan — yurt dışı barındırma, kapalı kaynak, denetimsiz model. Tam-bağımsız mimari, GPG-imzalı eğitim, yurt içi DC, açık kaynaklaştırma yol haritası → savunma için varsayılan rasyonel seçenek.</w:t>
      </w:r>
    </w:p>
    <w:p>
      <w:pPr>
        <w:pStyle w:val="ListBullet"/>
        <w:spacing w:line="300" w:lineRule="auto" w:after="40"/>
      </w:pPr>
      <w:r>
        <w:rPr>
          <w:rFonts w:ascii="Calibri" w:hAnsi="Calibri"/>
          <w:color w:val="111827"/>
          <w:sz w:val="21"/>
        </w:rPr>
        <w:t>İstihbarat raporu Türkçe özet ve sınıflandırma: 278K bağlam + KVKK-yerel.</w:t>
      </w:r>
    </w:p>
    <w:p>
      <w:pPr>
        <w:pStyle w:val="ListBullet"/>
        <w:spacing w:line="300" w:lineRule="auto" w:after="40"/>
      </w:pPr>
      <w:r>
        <w:rPr>
          <w:rFonts w:ascii="Calibri" w:hAnsi="Calibri"/>
          <w:color w:val="111827"/>
          <w:sz w:val="21"/>
        </w:rPr>
        <w:t>Lojistik ve tedarik analizi: Türkçe ihale belgesi işleme.</w:t>
      </w:r>
    </w:p>
    <w:p>
      <w:pPr>
        <w:pStyle w:val="ListBullet"/>
        <w:spacing w:line="300" w:lineRule="auto" w:after="40"/>
      </w:pPr>
      <w:r>
        <w:rPr>
          <w:rFonts w:ascii="Calibri" w:hAnsi="Calibri"/>
          <w:color w:val="111827"/>
          <w:sz w:val="21"/>
        </w:rPr>
        <w:t>Eğitim simülasyonu Türkçe etkileşim: TR Grammar + RLHF.</w:t>
      </w:r>
    </w:p>
    <w:p>
      <w:pPr>
        <w:pStyle w:val="ListBullet"/>
        <w:spacing w:line="300" w:lineRule="auto" w:after="40"/>
      </w:pPr>
      <w:r>
        <w:rPr>
          <w:rFonts w:ascii="Calibri" w:hAnsi="Calibri"/>
          <w:color w:val="111827"/>
          <w:sz w:val="21"/>
        </w:rPr>
        <w:t>Açık kaynak kod denetimi: HumanEval 84.15, MBPP 84.82.</w:t>
      </w:r>
    </w:p>
    <w:p>
      <w:pPr>
        <w:pStyle w:val="Heading1"/>
        <w:spacing w:before="400" w:after="160"/>
      </w:pPr>
      <w:r>
        <w:rPr>
          <w:rFonts w:ascii="Calibri" w:hAnsi="Calibri"/>
          <w:b/>
          <w:color w:val="0F1738"/>
          <w:sz w:val="44"/>
        </w:rPr>
        <w:t>8. Yazılım, AR-GE ve Mühendislik</w:t>
      </w:r>
    </w:p>
    <w:p>
      <w:pPr>
        <w:pBdr>
          <w:bottom w:val="single" w:sz="8" w:space="1" w:color="6366F1"/>
        </w:pBdr>
      </w:pPr>
    </w:p>
    <w:p>
      <w:pPr>
        <w:spacing w:after="120" w:line="300" w:lineRule="auto"/>
        <w:jc w:val="both"/>
      </w:pPr>
      <w:r>
        <w:rPr>
          <w:rFonts w:ascii="Calibri" w:hAnsi="Calibri"/>
          <w:color w:val="111827"/>
          <w:sz w:val="21"/>
        </w:rPr>
        <w:t>Niçin AIGENCY: HumanEval 84.15 / MBPP+ 78.04 → frontier üst-orta segment kod yetkinliği. 278K bağlam ile büyük kod tabanı analizi. Türkçe değişken adlandırma ve teknik dökümantasyon için #1.</w:t>
      </w:r>
    </w:p>
    <w:p>
      <w:pPr>
        <w:pStyle w:val="ListBullet"/>
        <w:spacing w:line="300" w:lineRule="auto" w:after="40"/>
      </w:pPr>
      <w:r>
        <w:rPr>
          <w:rFonts w:ascii="Calibri" w:hAnsi="Calibri"/>
          <w:color w:val="111827"/>
          <w:sz w:val="21"/>
        </w:rPr>
        <w:t>Kod inceleme asistanı (Türkçe açıklama): HumanEval 84.15 + Türkçe ton.</w:t>
      </w:r>
    </w:p>
    <w:p>
      <w:pPr>
        <w:pStyle w:val="ListBullet"/>
        <w:spacing w:line="300" w:lineRule="auto" w:after="40"/>
      </w:pPr>
      <w:r>
        <w:rPr>
          <w:rFonts w:ascii="Calibri" w:hAnsi="Calibri"/>
          <w:color w:val="111827"/>
          <w:sz w:val="21"/>
        </w:rPr>
        <w:t>Dokümantasyon üretimi (TR-EN çift): MMLU 80.10 + TR-MMLU 70.80.</w:t>
      </w:r>
    </w:p>
    <w:p>
      <w:pPr>
        <w:pStyle w:val="ListBullet"/>
        <w:spacing w:line="300" w:lineRule="auto" w:after="40"/>
      </w:pPr>
      <w:r>
        <w:rPr>
          <w:rFonts w:ascii="Calibri" w:hAnsi="Calibri"/>
          <w:color w:val="111827"/>
          <w:sz w:val="21"/>
        </w:rPr>
        <w:t>API spec → istemci kodu: MBPP 84.82.</w:t>
      </w:r>
    </w:p>
    <w:p>
      <w:pPr>
        <w:pStyle w:val="ListBullet"/>
        <w:spacing w:line="300" w:lineRule="auto" w:after="40"/>
      </w:pPr>
      <w:r>
        <w:rPr>
          <w:rFonts w:ascii="Calibri" w:hAnsi="Calibri"/>
          <w:color w:val="111827"/>
          <w:sz w:val="21"/>
        </w:rPr>
        <w:t>Eski sistem (legacy) Türkçe yorum-temizleme: 278K + dilbilgisi.</w:t>
      </w:r>
    </w:p>
    <w:p>
      <w:pPr>
        <w:pStyle w:val="Heading1"/>
        <w:spacing w:before="400" w:after="160"/>
      </w:pPr>
      <w:r>
        <w:rPr>
          <w:rFonts w:ascii="Calibri" w:hAnsi="Calibri"/>
          <w:b/>
          <w:color w:val="0F1738"/>
          <w:sz w:val="44"/>
        </w:rPr>
        <w:t>Sonuç — Pazar Önceliklendirmesi</w:t>
      </w:r>
    </w:p>
    <w:p>
      <w:pPr>
        <w:pBdr>
          <w:bottom w:val="single" w:sz="8" w:space="1" w:color="6366F1"/>
        </w:pBdr>
      </w:pPr>
    </w:p>
    <w:tbl>
      <w:tblPr>
        <w:tblStyle w:val="Light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cantSplit/>
        </w:trPr>
        <w:tc>
          <w:tcPr>
            <w:tcW w:type="dxa" w:w="2551"/>
            <w:vAlign w:val="center"/>
            <w:shd w:val="clear" w:color="auto" w:fill="0F1738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Sektör</w:t>
            </w:r>
          </w:p>
        </w:tc>
        <w:tc>
          <w:tcPr>
            <w:tcW w:type="dxa" w:w="2268"/>
            <w:vAlign w:val="center"/>
            <w:shd w:val="clear" w:color="auto" w:fill="0F1738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Skor uyumu</w:t>
            </w:r>
          </w:p>
        </w:tc>
        <w:tc>
          <w:tcPr>
            <w:tcW w:type="dxa" w:w="2551"/>
            <w:vAlign w:val="center"/>
            <w:shd w:val="clear" w:color="auto" w:fill="0F1738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Pazar büyüklüğü (TR)</w:t>
            </w:r>
          </w:p>
        </w:tc>
        <w:tc>
          <w:tcPr>
            <w:tcW w:type="dxa" w:w="2268"/>
            <w:vAlign w:val="center"/>
            <w:shd w:val="clear" w:color="auto" w:fill="0F1738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Öncelik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val="clear" w:color="auto" w:fill="F3F4F6"/>
          </w:tcPr>
          <w:p>
            <w:r/>
            <w:r>
              <w:rPr>
                <w:rFonts w:ascii="Calibri" w:hAnsi="Calibri"/>
                <w:color w:val="111827"/>
                <w:sz w:val="19"/>
              </w:rPr>
              <w:t>Kamu / Devlet</w:t>
            </w:r>
          </w:p>
        </w:tc>
        <w:tc>
          <w:tcPr>
            <w:tcW w:type="dxa" w:w="2268"/>
            <w:vAlign w:val="center"/>
            <w:shd w:val="clear" w:color="auto" w:fill="F3F4F6"/>
          </w:tcPr>
          <w:p>
            <w:r/>
            <w:r>
              <w:rPr>
                <w:rFonts w:ascii="Calibri" w:hAnsi="Calibri"/>
                <w:color w:val="111827"/>
                <w:sz w:val="19"/>
              </w:rPr>
              <w:t>Çok yüksek (KVKK + TR)</w:t>
            </w:r>
          </w:p>
        </w:tc>
        <w:tc>
          <w:tcPr>
            <w:tcW w:type="dxa" w:w="2551"/>
            <w:vAlign w:val="center"/>
            <w:shd w:val="clear" w:color="auto" w:fill="F3F4F6"/>
          </w:tcPr>
          <w:p>
            <w:r/>
            <w:r>
              <w:rPr>
                <w:rFonts w:ascii="Calibri" w:hAnsi="Calibri"/>
                <w:color w:val="111827"/>
                <w:sz w:val="19"/>
              </w:rPr>
              <w:t>Çok büyük</w:t>
            </w:r>
          </w:p>
        </w:tc>
        <w:tc>
          <w:tcPr>
            <w:tcW w:type="dxa" w:w="2268"/>
            <w:vAlign w:val="center"/>
            <w:shd w:val="clear" w:color="auto" w:fill="F3F4F6"/>
          </w:tcPr>
          <w:p>
            <w:r/>
            <w:r>
              <w:rPr>
                <w:rFonts w:ascii="Calibri" w:hAnsi="Calibri"/>
                <w:color w:val="111827"/>
                <w:sz w:val="19"/>
              </w:rPr>
              <w:t>P0 — Lansman pazarı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color w:val="111827"/>
                <w:sz w:val="19"/>
              </w:rPr>
              <w:t>Hukuk / Hukuk-Tek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Calibri" w:hAnsi="Calibri"/>
                <w:color w:val="111827"/>
                <w:sz w:val="19"/>
              </w:rPr>
              <w:t>Çok yüksek (Tural sinerjisi)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color w:val="111827"/>
                <w:sz w:val="19"/>
              </w:rPr>
              <w:t>Büyük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Calibri" w:hAnsi="Calibri"/>
                <w:color w:val="111827"/>
                <w:sz w:val="19"/>
              </w:rPr>
              <w:t>P0 — Lansman pazarı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val="clear" w:color="auto" w:fill="F3F4F6"/>
          </w:tcPr>
          <w:p>
            <w:r/>
            <w:r>
              <w:rPr>
                <w:rFonts w:ascii="Calibri" w:hAnsi="Calibri"/>
                <w:color w:val="111827"/>
                <w:sz w:val="19"/>
              </w:rPr>
              <w:t>Eğitim / Yükseköğretim</w:t>
            </w:r>
          </w:p>
        </w:tc>
        <w:tc>
          <w:tcPr>
            <w:tcW w:type="dxa" w:w="2268"/>
            <w:vAlign w:val="center"/>
            <w:shd w:val="clear" w:color="auto" w:fill="F3F4F6"/>
          </w:tcPr>
          <w:p>
            <w:r/>
            <w:r>
              <w:rPr>
                <w:rFonts w:ascii="Calibri" w:hAnsi="Calibri"/>
                <w:color w:val="111827"/>
                <w:sz w:val="19"/>
              </w:rPr>
              <w:t>Yüksek</w:t>
            </w:r>
          </w:p>
        </w:tc>
        <w:tc>
          <w:tcPr>
            <w:tcW w:type="dxa" w:w="2551"/>
            <w:vAlign w:val="center"/>
            <w:shd w:val="clear" w:color="auto" w:fill="F3F4F6"/>
          </w:tcPr>
          <w:p>
            <w:r/>
            <w:r>
              <w:rPr>
                <w:rFonts w:ascii="Calibri" w:hAnsi="Calibri"/>
                <w:color w:val="111827"/>
                <w:sz w:val="19"/>
              </w:rPr>
              <w:t>Çok büyük</w:t>
            </w:r>
          </w:p>
        </w:tc>
        <w:tc>
          <w:tcPr>
            <w:tcW w:type="dxa" w:w="2268"/>
            <w:vAlign w:val="center"/>
            <w:shd w:val="clear" w:color="auto" w:fill="F3F4F6"/>
          </w:tcPr>
          <w:p>
            <w:r/>
            <w:r>
              <w:rPr>
                <w:rFonts w:ascii="Calibri" w:hAnsi="Calibri"/>
                <w:color w:val="111827"/>
                <w:sz w:val="19"/>
              </w:rPr>
              <w:t>P1 — Erken büyüme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color w:val="111827"/>
                <w:sz w:val="19"/>
              </w:rPr>
              <w:t>Bankacılık &amp; Finans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Calibri" w:hAnsi="Calibri"/>
                <w:color w:val="111827"/>
                <w:sz w:val="19"/>
              </w:rPr>
              <w:t>Yüksek (KVKK)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color w:val="111827"/>
                <w:sz w:val="19"/>
              </w:rPr>
              <w:t>Büyük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Calibri" w:hAnsi="Calibri"/>
                <w:color w:val="111827"/>
                <w:sz w:val="19"/>
              </w:rPr>
              <w:t>P1 — Erken büyüme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val="clear" w:color="auto" w:fill="F3F4F6"/>
          </w:tcPr>
          <w:p>
            <w:r/>
            <w:r>
              <w:rPr>
                <w:rFonts w:ascii="Calibri" w:hAnsi="Calibri"/>
                <w:color w:val="111827"/>
                <w:sz w:val="19"/>
              </w:rPr>
              <w:t>Savunma &amp; Kritik altyapı</w:t>
            </w:r>
          </w:p>
        </w:tc>
        <w:tc>
          <w:tcPr>
            <w:tcW w:type="dxa" w:w="2268"/>
            <w:vAlign w:val="center"/>
            <w:shd w:val="clear" w:color="auto" w:fill="F3F4F6"/>
          </w:tcPr>
          <w:p>
            <w:r/>
            <w:r>
              <w:rPr>
                <w:rFonts w:ascii="Calibri" w:hAnsi="Calibri"/>
                <w:color w:val="111827"/>
                <w:sz w:val="19"/>
              </w:rPr>
              <w:t>Çok yüksek</w:t>
            </w:r>
          </w:p>
        </w:tc>
        <w:tc>
          <w:tcPr>
            <w:tcW w:type="dxa" w:w="2551"/>
            <w:vAlign w:val="center"/>
            <w:shd w:val="clear" w:color="auto" w:fill="F3F4F6"/>
          </w:tcPr>
          <w:p>
            <w:r/>
            <w:r>
              <w:rPr>
                <w:rFonts w:ascii="Calibri" w:hAnsi="Calibri"/>
                <w:color w:val="111827"/>
                <w:sz w:val="19"/>
              </w:rPr>
              <w:t>Orta (yüksek değer)</w:t>
            </w:r>
          </w:p>
        </w:tc>
        <w:tc>
          <w:tcPr>
            <w:tcW w:type="dxa" w:w="2268"/>
            <w:vAlign w:val="center"/>
            <w:shd w:val="clear" w:color="auto" w:fill="F3F4F6"/>
          </w:tcPr>
          <w:p>
            <w:r/>
            <w:r>
              <w:rPr>
                <w:rFonts w:ascii="Calibri" w:hAnsi="Calibri"/>
                <w:color w:val="111827"/>
                <w:sz w:val="19"/>
              </w:rPr>
              <w:t>P1 — Stratejik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color w:val="111827"/>
                <w:sz w:val="19"/>
              </w:rPr>
              <w:t>Sağlık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Calibri" w:hAnsi="Calibri"/>
                <w:color w:val="111827"/>
                <w:sz w:val="19"/>
              </w:rPr>
              <w:t>Yüksek (KVKK)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color w:val="111827"/>
                <w:sz w:val="19"/>
              </w:rPr>
              <w:t>Büyük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Calibri" w:hAnsi="Calibri"/>
                <w:color w:val="111827"/>
                <w:sz w:val="19"/>
              </w:rPr>
              <w:t>P2 — Geliştirme sonrası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val="clear" w:color="auto" w:fill="F3F4F6"/>
          </w:tcPr>
          <w:p>
            <w:r/>
            <w:r>
              <w:rPr>
                <w:rFonts w:ascii="Calibri" w:hAnsi="Calibri"/>
                <w:color w:val="111827"/>
                <w:sz w:val="19"/>
              </w:rPr>
              <w:t>Medya &amp; Yayıncılık</w:t>
            </w:r>
          </w:p>
        </w:tc>
        <w:tc>
          <w:tcPr>
            <w:tcW w:type="dxa" w:w="2268"/>
            <w:vAlign w:val="center"/>
            <w:shd w:val="clear" w:color="auto" w:fill="F3F4F6"/>
          </w:tcPr>
          <w:p>
            <w:r/>
            <w:r>
              <w:rPr>
                <w:rFonts w:ascii="Calibri" w:hAnsi="Calibri"/>
                <w:color w:val="111827"/>
                <w:sz w:val="19"/>
              </w:rPr>
              <w:t>Yüksek</w:t>
            </w:r>
          </w:p>
        </w:tc>
        <w:tc>
          <w:tcPr>
            <w:tcW w:type="dxa" w:w="2551"/>
            <w:vAlign w:val="center"/>
            <w:shd w:val="clear" w:color="auto" w:fill="F3F4F6"/>
          </w:tcPr>
          <w:p>
            <w:r/>
            <w:r>
              <w:rPr>
                <w:rFonts w:ascii="Calibri" w:hAnsi="Calibri"/>
                <w:color w:val="111827"/>
                <w:sz w:val="19"/>
              </w:rPr>
              <w:t>Orta</w:t>
            </w:r>
          </w:p>
        </w:tc>
        <w:tc>
          <w:tcPr>
            <w:tcW w:type="dxa" w:w="2268"/>
            <w:vAlign w:val="center"/>
            <w:shd w:val="clear" w:color="auto" w:fill="F3F4F6"/>
          </w:tcPr>
          <w:p>
            <w:r/>
            <w:r>
              <w:rPr>
                <w:rFonts w:ascii="Calibri" w:hAnsi="Calibri"/>
                <w:color w:val="111827"/>
                <w:sz w:val="19"/>
              </w:rPr>
              <w:t>P2 — Sürdürülebilir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color w:val="111827"/>
                <w:sz w:val="19"/>
              </w:rPr>
              <w:t>Yazılım / AR-GE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Calibri" w:hAnsi="Calibri"/>
                <w:color w:val="111827"/>
                <w:sz w:val="19"/>
              </w:rPr>
              <w:t>Orta-Yüksek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color w:val="111827"/>
                <w:sz w:val="19"/>
              </w:rPr>
              <w:t>Büyük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Calibri" w:hAnsi="Calibri"/>
                <w:color w:val="111827"/>
                <w:sz w:val="19"/>
              </w:rPr>
              <w:t>P2 — V4.1 sonrası</w:t>
            </w:r>
          </w:p>
        </w:tc>
      </w:tr>
    </w:tbl>
    <w:p/>
    <w:p>
      <w:pPr>
        <w:spacing w:after="160"/>
        <w:ind w:left="283"/>
        <w:pBdr>
          <w:left w:val="single" w:sz="24" w:space="8" w:color="6366F1"/>
        </w:pBdr>
        <w:shd w:val="clear" w:color="auto" w:fill="F8FAFF"/>
      </w:pPr>
      <w:r>
        <w:rPr>
          <w:b/>
          <w:color w:val="6366F1"/>
          <w:sz w:val="21"/>
        </w:rPr>
        <w:t xml:space="preserve">Stratejik tercih:  </w:t>
      </w:r>
      <w:r>
        <w:rPr>
          <w:color w:val="111827"/>
          <w:sz w:val="21"/>
        </w:rPr>
        <w:t>İlk 18 ayda P0 + P1 sektörlere odaklanırız. P2 sektörlere V4.1 (latency ≤4s, GPQA ≥0.55) sonrası yatırım yapılır. Bu öncelik, V4'ün gerçek skor profilini iddiaya dönüştürür.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8"/>
      </w:rPr>
      <w:t xml:space="preserve">© 2026 eCloud Yazılım Teknolojileri  ·  Sayfa  ·  </w:t>
    </w:r>
    <w:r>
      <w:fldChar w:fldCharType="begin"/>
    </w:r>
    <w:r>
      <w:instrText xml:space="preserve">PAGE</w:instrText>
    </w:r>
    <w:r>
      <w:fldChar w:fldCharType="end"/>
    </w:r>
    <w:r>
      <w:rPr>
        <w:color w:val="6B7280"/>
        <w:sz w:val="18"/>
      </w:rPr>
      <w:t xml:space="preserve"> / </w:t>
    </w:r>
    <w:r>
      <w:fldChar w:fldCharType="begin"/>
    </w:r>
    <w:r>
      <w:instrText xml:space="preserve">NUMPAGES</w:instrTex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i/>
        <w:color w:val="6B7280"/>
        <w:sz w:val="18"/>
      </w:rPr>
      <w:t>eCloud  ·  AIGENCY V4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1182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