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KOZA v1.1 — Forum Bulgularıyla Geliştirilmiş Ürün Yönü ve Yapay Zekâ Geliştirme Rehberi</w:t>
      </w:r>
    </w:p>
    <w:p>
      <w:pPr/>
      <w:r>
        <w:t xml:space="preserve">Oct 13, 2026</w:t>
      </w:r>
      <w:r>
        <w:t xml:space="preserve"> · </w:t>
      </w:r>
      <w:r>
        <w:t xml:space="preserve">@EU Projects</w:t>
      </w:r>
    </w:p>
    <w:p>
      <w:pPr>
        <w:pStyle w:val="Heading2"/>
      </w:pPr>
      <w:r>
        <w:t xml:space="preserve">1. Özet</w:t>
      </w:r>
    </w:p>
    <w:p>
      <w:pPr/>
      <w:r>
        <w:t xml:space="preserve">Koza'nın ana mantığı değişmiyor: yeni başlayan çalışanı adım adım yönlendiren, veriyi kanıtıyla toplayan, hesabı denetlenebilir motorla yapan ve sonucu rapora bağlayan bir uygulama. </w:t>
      </w:r>
      <w:r>
        <w:rPr>
          <w:b/>
        </w:rPr>
        <w:t xml:space="preserve">Hesabı motor yapar; yapay zekâ açıklar ve yönlendirir.</w:t>
      </w:r>
    </w:p>
    <w:p>
      <w:pPr/>
      <w:r>
        <w:t xml:space="preserve">Bu sürüm, GreenSync Young Professionals Forum'da (EMES grubu) ortaya çıkan ana sorunu Koza'nın çözdüğü probleme bağlıyor: </w:t>
      </w:r>
      <w:r>
        <w:rPr>
          <w:i/>
        </w:rPr>
        <w:t xml:space="preserve">“İşletmede sürdürülebilirlik odaklı bir sistem mimarisi yok.”</w:t>
      </w:r>
      <w:r>
        <w:t xml:space="preserve"> Forumun iki hedefi (verimlilik ve çalışan memnuniyeti) Koza'nın başarı ölçütlerine eklendi.</w:t>
      </w:r>
    </w:p>
    <w:p>
      <w:pPr/>
      <w:r>
        <w:t xml:space="preserve">Bu sürümde eklenenler: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Sektör uyarlama katmanı:</w:t>
      </w:r>
      <w:r>
        <w:t xml:space="preserve"> çekirdek her sektörde aynı kalır; gösterge seti, yoğunluk paydası, öncelikli Kapsam 3 kategorileri ve dersler sürümlü sektör profilinden gelir.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Gösterge sözlüğü ve veri sözleşmesi:</w:t>
      </w:r>
      <w:r>
        <w:t xml:space="preserve"> her göstergenin tanımı, birimi, kaynağı, sahibi ve güncelleme sıklığı.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Sapma → aksiyon döngüsü:</w:t>
      </w:r>
      <w:r>
        <w:t xml:space="preserve"> KPI sapmasından düzeltici faaliyete ve etki doğrulamasına giden yönlendirilmiş iş akışı.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Saha katılımı (Green Kaizen):</w:t>
      </w:r>
      <w:r>
        <w:t xml:space="preserve"> sahadan öneri toplama; çalışan memnuniyeti hedefini doğrudan besler.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Regülasyon uyum paketleri:</w:t>
      </w:r>
      <w:r>
        <w:t xml:space="preserve"> CBAM, ulusal ETS/MRV, TSRS gibi yükümlülükler yalnız uygulanabilir olduğunda açılan, mevcut Kapsam 1–2 akışlarının üzerine kurulu paketler.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Rol bazlı öğrenme yolları:</w:t>
      </w:r>
      <w:r>
        <w:t xml:space="preserve"> yönetici, uzman/mühendis, saha çalışanı.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Tedarikçi veri programı:</w:t>
      </w:r>
      <w:r>
        <w:t xml:space="preserve"> kritik tedarikçilerle başlayan, güven odaklı veri talebi.</w:t>
      </w:r>
    </w:p>
    <w:p>
      <w:pPr/>
      <w:r>
        <w:t xml:space="preserve">Hiçbiri Koza'yı genel bir ESG platformuna çevirmez. Her ek, mevcut “görev → veri → hesap → kontrol → rapor” zincirine bağlanır.</w:t>
      </w:r>
    </w:p>
    <w:p>
      <w:pPr>
        <w:pStyle w:val="Heading2"/>
      </w:pPr>
      <w:r>
        <w:t xml:space="preserve">2. Forum bulgularının Koza'ya eşlenmesi</w:t>
      </w:r>
    </w:p>
    <w:p>
      <w:pPr/>
      <w:r>
        <w:t xml:space="preserve">Forumun beş çözüm ekseni, Koza'da zaten var olan sekmelere ve şartname bölümlerine bağlanır. Yeni modül yalnız mevcut yapının karşılamadığı yerde açılır.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Forum ekseni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Kök neden (forum)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Koza'daki karşılığı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Bu sürümdeki ek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Yönetişim</w:t>
            </w:r>
          </w:p>
        </w:tc>
        <w:tc>
          <w:tcPr>
            <w:tcW w:w="2340" w:type="dxa"/>
          </w:tcPr>
          <w:p>
            <w:pPr/>
            <w:r>
              <w:t xml:space="preserve">Sahiplik, hedef, öncelik yok</w:t>
            </w:r>
          </w:p>
        </w:tc>
        <w:tc>
          <w:tcPr>
            <w:tcW w:w="2340" w:type="dxa"/>
          </w:tcPr>
          <w:p>
            <w:pPr/>
            <w:r>
              <w:t xml:space="preserve">Roller ve yetki (§04), dönem kapanışı (§21), hedefler (§22)</w:t>
            </w:r>
          </w:p>
        </w:tc>
        <w:tc>
          <w:tcPr>
            <w:tcW w:w="2340" w:type="dxa"/>
          </w:tcPr>
          <w:p>
            <w:pPr/>
            <w:r>
              <w:t xml:space="preserve">Hedef kartı + RACI, yatırım talebine “karar kapısı”, gölge karbon fiyatı senaryosu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Veri ve dijital altyapı</w:t>
            </w:r>
          </w:p>
        </w:tc>
        <w:tc>
          <w:tcPr>
            <w:tcW w:w="2340" w:type="dxa"/>
          </w:tcPr>
          <w:p>
            <w:pPr/>
            <w:r>
              <w:t xml:space="preserve">Dağınık, güvenilmez veri</w:t>
            </w:r>
          </w:p>
        </w:tc>
        <w:tc>
          <w:tcPr>
            <w:tcW w:w="2340" w:type="dxa"/>
          </w:tcPr>
          <w:p>
            <w:pPr/>
            <w:r>
              <w:t xml:space="preserve">Rehberli veri girişi (§11), hesap motoru (§18), entegrasyon (§27)</w:t>
            </w:r>
          </w:p>
        </w:tc>
        <w:tc>
          <w:tcPr>
            <w:tcW w:w="2340" w:type="dxa"/>
          </w:tcPr>
          <w:p>
            <w:pPr/>
            <w:r>
              <w:t xml:space="preserve">Gösterge sözlüğü, kritik 10–15 gösterge paketi, sektör profiline göre yoğunluk panosu (ör. kWh/ton, kWh/m², kg CO₂e/çalışan), MRV uyumlu izleme planı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Tedarik zinciri</w:t>
            </w:r>
          </w:p>
        </w:tc>
        <w:tc>
          <w:tcPr>
            <w:tcW w:w="2340" w:type="dxa"/>
          </w:tcPr>
          <w:p>
            <w:pPr/>
            <w:r>
              <w:t xml:space="preserve">Tedarikçi verisi yok, güven sorunu</w:t>
            </w:r>
          </w:p>
        </w:tc>
        <w:tc>
          <w:tcPr>
            <w:tcW w:w="2340" w:type="dxa"/>
          </w:tcPr>
          <w:p>
            <w:pPr/>
            <w:r>
              <w:t xml:space="preserve">Kapsam 3 veri talebi (§14), görev ve tedarikçi talepleri (§21)</w:t>
            </w:r>
          </w:p>
        </w:tc>
        <w:tc>
          <w:tcPr>
            <w:tcW w:w="2340" w:type="dxa"/>
          </w:tcPr>
          <w:p>
            <w:pPr/>
            <w:r>
              <w:t xml:space="preserve">Segmentasyon (kritik %20), gizlilik taahhüdü, öz değerlendirme, regülasyon kapsamındaki ürünler için gömülü emisyon talebi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Sosyal</w:t>
            </w:r>
          </w:p>
        </w:tc>
        <w:tc>
          <w:tcPr>
            <w:tcW w:w="2340" w:type="dxa"/>
          </w:tcPr>
          <w:p>
            <w:pPr/>
            <w:r>
              <w:t xml:space="preserve">Farkındalık düşük, operatör sürece katılmıyor</w:t>
            </w:r>
          </w:p>
        </w:tc>
        <w:tc>
          <w:tcPr>
            <w:tcW w:w="2340" w:type="dxa"/>
          </w:tcPr>
          <w:p>
            <w:pPr/>
            <w:r>
              <w:t xml:space="preserve">Sürdürülebilirlik 101 (§07), karbon dışı kapsam (§23)</w:t>
            </w:r>
          </w:p>
        </w:tc>
        <w:tc>
          <w:tcPr>
            <w:tcW w:w="2340" w:type="dxa"/>
          </w:tcPr>
          <w:p>
            <w:pPr/>
            <w:r>
              <w:t xml:space="preserve">Rol bazlı öğrenme yolları, Green Kaizen öneri modülü, sürdürülebilirlik elçisi rolü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 Çevre ve dış ekosistem</w:t>
            </w:r>
          </w:p>
        </w:tc>
        <w:tc>
          <w:tcPr>
            <w:tcW w:w="2340" w:type="dxa"/>
          </w:tcPr>
          <w:p>
            <w:pPr/>
            <w:r>
              <w:t xml:space="preserve">Regülasyon, finansman, maliyet</w:t>
            </w:r>
          </w:p>
        </w:tc>
        <w:tc>
          <w:tcPr>
            <w:tcW w:w="2340" w:type="dxa"/>
          </w:tcPr>
          <w:p>
            <w:pPr/>
            <w:r>
              <w:t xml:space="preserve">Gündem ve takvim (§09), kaynak izleme (§19)</w:t>
            </w:r>
          </w:p>
        </w:tc>
        <w:tc>
          <w:tcPr>
            <w:tcW w:w="2340" w:type="dxa"/>
          </w:tcPr>
          <w:p>
            <w:pPr/>
            <w:r>
              <w:t xml:space="preserve">CBAM / TSRS / İklim Kanunu / TR ETS izleme listesi, fon haritası (ön değerlendirme), sektörel ortak veri şablonu</w:t>
            </w:r>
          </w:p>
        </w:tc>
      </w:tr>
    </w:tbl>
    <w:p>
      <w:pPr/>
      <w:r>
        <w:rPr>
          <w:b/>
        </w:rPr>
        <w:t xml:space="preserve">Havva Dönmez'in mimari önerisi</w:t>
      </w:r>
      <w:r>
        <w:t xml:space="preserve"> Koza'nın iç yapısına doğrudan oturur: strateji ve sahiplik → süreç mimarisi → veri yönetişimi → entegrasyon → ortak ESG veri katmanı → karar ve aksiyon motoru. Koza bu altı katmanın “kullanıcı yüzü” olur; ilk beşi zaten şartnamede var, altıncısı (karar ve aksiyon motoru) bu sürümde eklenir.</w:t>
      </w:r>
    </w:p>
    <w:p>
      <w:pPr/>
      <w:r>
        <w:rPr>
          <w:b/>
        </w:rPr>
        <w:t xml:space="preserve">Enes Koç'un TR ETS önerisi</w:t>
      </w:r>
      <w:r>
        <w:t xml:space="preserve"> karbonu raporlama metriğinden finansal kaleme taşır. Koza bunu ETS kapsamındaki kurumlar için açılan bir paket olarak ve kendi ilkeleriyle alır: MRV uyumlu veri ve izleme planı üretim verisidir; gölge karbon fiyatı, ücretsiz tahsis ve EPİAŞ senaryoları ise </w:t>
      </w:r>
      <w:r>
        <w:rPr>
          <w:b/>
        </w:rPr>
        <w:t xml:space="preserve">senaryo defterinde</w:t>
      </w:r>
      <w:r>
        <w:t xml:space="preserve"> tutulur, envanteri değiştirmez (§22 ile uyumlu).</w:t>
      </w:r>
    </w:p>
    <w:p>
      <w:pPr>
        <w:pStyle w:val="Heading2"/>
      </w:pPr>
      <w:r>
        <w:t xml:space="preserve">3. Genişletilmiş kullanıcılar ve roller</w:t>
      </w:r>
    </w:p>
    <w:p>
      <w:pPr/>
      <w:r>
        <w:t xml:space="preserve">Birincil kullanıcı değişmez: konuya yeni başlayan yeşil yakalı çalışan. Forum bulguları üç yeni rol ekler; her biri §04'teki yetki modeline (sunucu tarafı kontrol, görevlerin ayrılığı) tabidir.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“Benim işim…”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 görür / ne yapar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Yeni mi?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Yeni başlayan çalışan</w:t>
            </w:r>
          </w:p>
        </w:tc>
        <w:tc>
          <w:tcPr>
            <w:tcW w:w="2340" w:type="dxa"/>
          </w:tcPr>
          <w:p>
            <w:pPr/>
            <w:r>
              <w:t xml:space="preserve">“İlk faturayı doğru gireyim ve ne yaptığımı anlayayım.”</w:t>
            </w:r>
          </w:p>
        </w:tc>
        <w:tc>
          <w:tcPr>
            <w:tcW w:w="2340" w:type="dxa"/>
          </w:tcPr>
          <w:p>
            <w:pPr/>
            <w:r>
              <w:t xml:space="preserve">Görev listesi, rehberli veri girişi, bağlamsal dersler</w:t>
            </w:r>
          </w:p>
        </w:tc>
        <w:tc>
          <w:tcPr>
            <w:tcW w:w="2340" w:type="dxa"/>
          </w:tcPr>
          <w:p>
            <w:pPr/>
            <w:r>
              <w:t xml:space="preserve">Mevcut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Veri sağlayıcı (birim / tedarikçi)</w:t>
            </w:r>
          </w:p>
        </w:tc>
        <w:tc>
          <w:tcPr>
            <w:tcW w:w="2340" w:type="dxa"/>
          </w:tcPr>
          <w:p>
            <w:pPr/>
            <w:r>
              <w:t xml:space="preserve">“İstenen bilgiyi kısa sürede teslim edeyim.”</w:t>
            </w:r>
          </w:p>
        </w:tc>
        <w:tc>
          <w:tcPr>
            <w:tcW w:w="2340" w:type="dxa"/>
          </w:tcPr>
          <w:p>
            <w:pPr/>
            <w:r>
              <w:t xml:space="preserve">Yalnız kendi talebi, örnek belge, eksik listesi</w:t>
            </w:r>
          </w:p>
        </w:tc>
        <w:tc>
          <w:tcPr>
            <w:tcW w:w="2340" w:type="dxa"/>
          </w:tcPr>
          <w:p>
            <w:pPr/>
            <w:r>
              <w:t xml:space="preserve">Mevcut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Uzman onaylayıcı</w:t>
            </w:r>
          </w:p>
        </w:tc>
        <w:tc>
          <w:tcPr>
            <w:tcW w:w="2340" w:type="dxa"/>
          </w:tcPr>
          <w:p>
            <w:pPr/>
            <w:r>
              <w:t xml:space="preserve">“Varsayımları ve hesapları kontrol edeyim.”</w:t>
            </w:r>
          </w:p>
        </w:tc>
        <w:tc>
          <w:tcPr>
            <w:tcW w:w="2340" w:type="dxa"/>
          </w:tcPr>
          <w:p>
            <w:pPr/>
            <w:r>
              <w:t xml:space="preserve">Yöntem, faktör, kanıt; onay / geri gönderme</w:t>
            </w:r>
          </w:p>
        </w:tc>
        <w:tc>
          <w:tcPr>
            <w:tcW w:w="2340" w:type="dxa"/>
          </w:tcPr>
          <w:p>
            <w:pPr/>
            <w:r>
              <w:t xml:space="preserve">Mevcut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Yönetici / sponsor</w:t>
            </w:r>
          </w:p>
        </w:tc>
        <w:tc>
          <w:tcPr>
            <w:tcW w:w="2340" w:type="dxa"/>
          </w:tcPr>
          <w:p>
            <w:pPr/>
            <w:r>
              <w:t xml:space="preserve">“Eksikleri, riskleri ve dönem kapanışını göreyim.”</w:t>
            </w:r>
          </w:p>
        </w:tc>
        <w:tc>
          <w:tcPr>
            <w:tcW w:w="2340" w:type="dxa"/>
          </w:tcPr>
          <w:p>
            <w:pPr/>
            <w:r>
              <w:t xml:space="preserve">Hedef kartı, RACI, yönetim panosu, iki hedefin durumu</w:t>
            </w:r>
          </w:p>
        </w:tc>
        <w:tc>
          <w:tcPr>
            <w:tcW w:w="2340" w:type="dxa"/>
          </w:tcPr>
          <w:p>
            <w:pPr/>
            <w:r>
              <w:t xml:space="preserve">Genişletildi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Operatör</w:t>
            </w:r>
          </w:p>
        </w:tc>
        <w:tc>
          <w:tcPr>
            <w:tcW w:w="2340" w:type="dxa"/>
          </w:tcPr>
          <w:p>
            <w:pPr/>
            <w:r>
              <w:t xml:space="preserve">“Çalıştığım alandaki enerji, atık ve fireden haberim olsun, fikrimi söyleyeyim.”</w:t>
            </w:r>
          </w:p>
        </w:tc>
        <w:tc>
          <w:tcPr>
            <w:tcW w:w="2340" w:type="dxa"/>
          </w:tcPr>
          <w:p>
            <w:pPr/>
            <w:r>
              <w:t xml:space="preserve">Mobil sade görünüm: alan/hat hedefi, Green Kaizen önerisi, kısa saha dersleri</w:t>
            </w:r>
          </w:p>
        </w:tc>
        <w:tc>
          <w:tcPr>
            <w:tcW w:w="2340" w:type="dxa"/>
          </w:tcPr>
          <w:p>
            <w:pPr/>
            <w:r>
              <w:t xml:space="preserve">Yeni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Sürdürülebilirlik elçisi</w:t>
            </w:r>
          </w:p>
        </w:tc>
        <w:tc>
          <w:tcPr>
            <w:tcW w:w="2340" w:type="dxa"/>
          </w:tcPr>
          <w:p>
            <w:pPr/>
            <w:r>
              <w:t xml:space="preserve">“Birimimde görevleri takip edip arkadaşlarıma yardım edeyim.”</w:t>
            </w:r>
          </w:p>
        </w:tc>
        <w:tc>
          <w:tcPr>
            <w:tcW w:w="2340" w:type="dxa"/>
          </w:tcPr>
          <w:p>
            <w:pPr/>
            <w:r>
              <w:t xml:space="preserve">Birim görevleri, öneri ön değerlendirmesi, ders önerme</w:t>
            </w:r>
          </w:p>
        </w:tc>
        <w:tc>
          <w:tcPr>
            <w:tcW w:w="2340" w:type="dxa"/>
          </w:tcPr>
          <w:p>
            <w:pPr/>
            <w:r>
              <w:t xml:space="preserve">Yeni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Finans / karbon masası</w:t>
            </w:r>
          </w:p>
        </w:tc>
        <w:tc>
          <w:tcPr>
            <w:tcW w:w="2340" w:type="dxa"/>
          </w:tcPr>
          <w:p>
            <w:pPr/>
            <w:r>
              <w:t xml:space="preserve">“Karbonun maliyet ve yatırım etkisini göreyim.”</w:t>
            </w:r>
          </w:p>
        </w:tc>
        <w:tc>
          <w:tcPr>
            <w:tcW w:w="2340" w:type="dxa"/>
          </w:tcPr>
          <w:p>
            <w:pPr/>
            <w:r>
              <w:t xml:space="preserve">Senaryo defteri, gölge karbon fiyatı, CBAM/ETS maruziyet özeti (salt okunur envanter)</w:t>
            </w:r>
          </w:p>
        </w:tc>
        <w:tc>
          <w:tcPr>
            <w:tcW w:w="2340" w:type="dxa"/>
          </w:tcPr>
          <w:p>
            <w:pPr/>
            <w:r>
              <w:t xml:space="preserve">Yeni</w:t>
            </w:r>
          </w:p>
        </w:tc>
      </w:tr>
    </w:tbl>
    <w:p>
      <w:pPr/>
      <w:r>
        <w:t xml:space="preserve">Operatör verisi kişisel performans değerlendirmesine dönüştürülmez; öneriler ve katılım birim düzeyinde toplulaştırılır (§25 mahremiyet).</w:t>
      </w:r>
    </w:p>
    <w:p>
      <w:pPr>
        <w:pStyle w:val="Heading2"/>
      </w:pPr>
      <w:r>
        <w:t xml:space="preserve">4. Yeni ve genişletilen modüller</w:t>
      </w:r>
    </w:p>
    <w:p>
      <w:pPr/>
      <w:r>
        <w:t xml:space="preserve">Yedi modül eklenir; ilki (SEK) ürünü tüm sektörlere uyarlayan katmandır. Her biri mevcut veri modelini, kanıt/onay altyapısını ve hesap motorunu kullanır; kendi hesabını yapmaz.</w:t>
      </w:r>
    </w:p>
    <w:p>
      <w:pPr>
        <w:pStyle w:val="Heading3"/>
      </w:pPr>
      <w:r>
        <w:t xml:space="preserve">4.1 Sektör uyarlama katmanı (SEK)</w:t>
      </w:r>
    </w:p>
    <w:p>
      <w:pPr/>
      <w:r>
        <w:t xml:space="preserve">Çekirdek (Kapsam 1–2, Kapsam 3'ün 15 kategorisi, hesap motoru, kanıt ve onay akışı) her sektörde aynıdır. Sektöre göre değişen her şey kod değil, sürümlü ve uzman onaylı </w:t>
      </w:r>
      <w:r>
        <w:rPr>
          <w:b/>
        </w:rPr>
        <w:t xml:space="preserve">sektör profili</w:t>
      </w:r>
      <w:r>
        <w:t xml:space="preserve"> verisidir.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SEK-01:</w:t>
      </w:r>
      <w:r>
        <w:t xml:space="preserve"> Kurum kurulumunda (ONB-01) faaliyet alanı NACE koduyla alınır; sistem profil önerir, kullanıcı onaylar. Bir kurumun birden fazla faaliyet alanı ve tesis bazında farklı profili olabilir.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SEK-02:</w:t>
      </w:r>
      <w:r>
        <w:t xml:space="preserve"> Profil şunları taşır: sektöre özgü göstergeler, yoğunluk paydaları, kaynak envanteri soruları (ONB-03), öncelikli Kapsam 3 kategorileri, ders yolları, örnek belgeler ve uygulanabilir olabilecek regülasyon paketleri.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SEK-03:</w:t>
      </w:r>
      <w:r>
        <w:t xml:space="preserve"> Profil yalnız önerir ve önceliklendirir; hiçbir kategoriyi otomatik silmez, uygulanabilirlik kararını vermez.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SEK-04:</w:t>
      </w:r>
      <w:r>
        <w:t xml:space="preserve"> Profil sürümü değiştiğinde geçmiş hesaplar ve raporlar değişmez; etkilenen kayıt listesi ve fark önizlemesi oluşur.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SEK-05:</w:t>
      </w:r>
      <w:r>
        <w:t xml:space="preserve"> Uygun profil yoksa “genel profil” ile başlanır; eksik sektör talebi içerik ekibine görev olarak gider.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Sektör profili (örnek)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Yoğunluk paydası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Öncelikli Kapsam 3 kategorileri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Sektöre özgü gösterge örneği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Ağır sanayi (metal, çimento, cam)</w:t>
            </w:r>
          </w:p>
        </w:tc>
        <w:tc>
          <w:tcPr>
            <w:tcW w:w="2340" w:type="dxa"/>
          </w:tcPr>
          <w:p>
            <w:pPr/>
            <w:r>
              <w:t xml:space="preserve">ton ürün</w:t>
            </w:r>
          </w:p>
        </w:tc>
        <w:tc>
          <w:tcPr>
            <w:tcW w:w="2340" w:type="dxa"/>
          </w:tcPr>
          <w:p>
            <w:pPr/>
            <w:r>
              <w:t xml:space="preserve">1, 3, 4</w:t>
            </w:r>
          </w:p>
        </w:tc>
        <w:tc>
          <w:tcPr>
            <w:tcW w:w="2340" w:type="dxa"/>
          </w:tcPr>
          <w:p>
            <w:pPr/>
            <w:r>
              <w:t xml:space="preserve">Proses emisyonu, hurda oranı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Genel imalat (makine, plastik, elektronik)</w:t>
            </w:r>
          </w:p>
        </w:tc>
        <w:tc>
          <w:tcPr>
            <w:tcW w:w="2340" w:type="dxa"/>
          </w:tcPr>
          <w:p>
            <w:pPr/>
            <w:r>
              <w:t xml:space="preserve">adet veya ton ürün</w:t>
            </w:r>
          </w:p>
        </w:tc>
        <w:tc>
          <w:tcPr>
            <w:tcW w:w="2340" w:type="dxa"/>
          </w:tcPr>
          <w:p>
            <w:pPr/>
            <w:r>
              <w:t xml:space="preserve">1, 4, 11, 12</w:t>
            </w:r>
          </w:p>
        </w:tc>
        <w:tc>
          <w:tcPr>
            <w:tcW w:w="2340" w:type="dxa"/>
          </w:tcPr>
          <w:p>
            <w:pPr/>
            <w:r>
              <w:t xml:space="preserve">Fire oranı, makine başı enerji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Gıda ve içecek</w:t>
            </w:r>
          </w:p>
        </w:tc>
        <w:tc>
          <w:tcPr>
            <w:tcW w:w="2340" w:type="dxa"/>
          </w:tcPr>
          <w:p>
            <w:pPr/>
            <w:r>
              <w:t xml:space="preserve">ton ürün, m³ su</w:t>
            </w:r>
          </w:p>
        </w:tc>
        <w:tc>
          <w:tcPr>
            <w:tcW w:w="2340" w:type="dxa"/>
          </w:tcPr>
          <w:p>
            <w:pPr/>
            <w:r>
              <w:t xml:space="preserve">1, 4, 5, 12</w:t>
            </w:r>
          </w:p>
        </w:tc>
        <w:tc>
          <w:tcPr>
            <w:tcW w:w="2340" w:type="dxa"/>
          </w:tcPr>
          <w:p>
            <w:pPr/>
            <w:r>
              <w:t xml:space="preserve">Soğutucu kaçağı, gıda kaybı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Tekstil ve hazır giyim</w:t>
            </w:r>
          </w:p>
        </w:tc>
        <w:tc>
          <w:tcPr>
            <w:tcW w:w="2340" w:type="dxa"/>
          </w:tcPr>
          <w:p>
            <w:pPr/>
            <w:r>
              <w:t xml:space="preserve">kg kumaş, adet</w:t>
            </w:r>
          </w:p>
        </w:tc>
        <w:tc>
          <w:tcPr>
            <w:tcW w:w="2340" w:type="dxa"/>
          </w:tcPr>
          <w:p>
            <w:pPr/>
            <w:r>
              <w:t xml:space="preserve">1, 4, 5</w:t>
            </w:r>
          </w:p>
        </w:tc>
        <w:tc>
          <w:tcPr>
            <w:tcW w:w="2340" w:type="dxa"/>
          </w:tcPr>
          <w:p>
            <w:pPr/>
            <w:r>
              <w:t xml:space="preserve">Su ve kimyasal tüketimi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Lojistik ve taşımacılık</w:t>
            </w:r>
          </w:p>
        </w:tc>
        <w:tc>
          <w:tcPr>
            <w:tcW w:w="2340" w:type="dxa"/>
          </w:tcPr>
          <w:p>
            <w:pPr/>
            <w:r>
              <w:t xml:space="preserve">ton-km</w:t>
            </w:r>
          </w:p>
        </w:tc>
        <w:tc>
          <w:tcPr>
            <w:tcW w:w="2340" w:type="dxa"/>
          </w:tcPr>
          <w:p>
            <w:pPr/>
            <w:r>
              <w:t xml:space="preserve">1, 3, 4</w:t>
            </w:r>
          </w:p>
        </w:tc>
        <w:tc>
          <w:tcPr>
            <w:tcW w:w="2340" w:type="dxa"/>
          </w:tcPr>
          <w:p>
            <w:pPr/>
            <w:r>
              <w:t xml:space="preserve">Filo yakıt verimi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Perakende</w:t>
            </w:r>
          </w:p>
        </w:tc>
        <w:tc>
          <w:tcPr>
            <w:tcW w:w="2340" w:type="dxa"/>
          </w:tcPr>
          <w:p>
            <w:pPr/>
            <w:r>
              <w:t xml:space="preserve">m² satış alanı</w:t>
            </w:r>
          </w:p>
        </w:tc>
        <w:tc>
          <w:tcPr>
            <w:tcW w:w="2340" w:type="dxa"/>
          </w:tcPr>
          <w:p>
            <w:pPr/>
            <w:r>
              <w:t xml:space="preserve">1, 4, 9, 12</w:t>
            </w:r>
          </w:p>
        </w:tc>
        <w:tc>
          <w:tcPr>
            <w:tcW w:w="2340" w:type="dxa"/>
          </w:tcPr>
          <w:p>
            <w:pPr/>
            <w:r>
              <w:t xml:space="preserve">Ambalaj, soğutma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Hizmet, ofis ve yazılım</w:t>
            </w:r>
          </w:p>
        </w:tc>
        <w:tc>
          <w:tcPr>
            <w:tcW w:w="2340" w:type="dxa"/>
          </w:tcPr>
          <w:p>
            <w:pPr/>
            <w:r>
              <w:t xml:space="preserve">çalışan, m²</w:t>
            </w:r>
          </w:p>
        </w:tc>
        <w:tc>
          <w:tcPr>
            <w:tcW w:w="2340" w:type="dxa"/>
          </w:tcPr>
          <w:p>
            <w:pPr/>
            <w:r>
              <w:t xml:space="preserve">1, 6, 7</w:t>
            </w:r>
          </w:p>
        </w:tc>
        <w:tc>
          <w:tcPr>
            <w:tcW w:w="2340" w:type="dxa"/>
          </w:tcPr>
          <w:p>
            <w:pPr/>
            <w:r>
              <w:t xml:space="preserve">Veri merkezi / bulut tüketimi</w:t>
            </w:r>
          </w:p>
        </w:tc>
      </w:tr>
    </w:tbl>
    <w:p>
      <w:pPr/>
      <w:r>
        <w:t xml:space="preserve">Tablo yalnız başlangıç örneğidir; profiller alan uzmanı onayıyla yüklenir. TSRS gibi ölçeğe bağlı yükümlülükler sektörden bağımsız olarak §08 uygulanabilirlik değerlendirmesiyle belirlenir.</w:t>
      </w:r>
    </w:p>
    <w:p>
      <w:pPr>
        <w:pStyle w:val="Heading3"/>
      </w:pPr>
      <w:r>
        <w:t xml:space="preserve">4.2 Gösterge sözlüğü ve veri sözleşmesi (GÖS)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GÖS-01:</w:t>
      </w:r>
      <w:r>
        <w:t xml:space="preserve"> Her gösterge için tanım, birim, kaynak sistem, veri sahibi, güncelleme sıklığı, kalite kuralı ve erişim yetkisi tutulur.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GÖS-02:</w:t>
      </w:r>
      <w:r>
        <w:t xml:space="preserve"> Çekirdek paket (tüm sektörler): enerji (elektrik, yakıtlar), Kapsam 1–2 emisyon, su, atık, iş kazası, kişi başı eğitim saati ve faaliyet çıktısı. Sektöre özgü göstergeler SEK profilinden eklenir.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GÖS-03:</w:t>
      </w:r>
      <w:r>
        <w:t xml:space="preserve"> Yoğunluk göstergeleri (ör. kWh/ton, kWh/m², kg CO₂e/çalışan) profildeki payda tanımı ve dönemi olmadan hesaplanmaz.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GÖS-04:</w:t>
      </w:r>
      <w:r>
        <w:t xml:space="preserve"> Veri sözleşmesi testleri (kaynak, birim, zaman, tutarlılık); uygunsuz kayıt düzeltme kuyruğuna gider.</w:t>
      </w:r>
    </w:p>
    <w:p>
      <w:pPr>
        <w:pStyle w:val="Heading3"/>
      </w:pPr>
      <w:r>
        <w:t xml:space="preserve">4.3 Karar kapısı ve aksiyon motoru (AKS)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AKS-01 Başlat:</w:t>
      </w:r>
      <w:r>
        <w:t xml:space="preserve"> Tetikleyici türleri: KPI sapması, yeni yatırım, süreç veya hat değişikliği, çalışan önerisi, mevzuat gereği.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AKS-02 Ön değerlendir:</w:t>
      </w:r>
      <w:r>
        <w:t xml:space="preserve"> Enerji, su, karbon, atık/fire, İSG, ergonomi, iş yükü ve maliyet etkisi alanları doldurulur; bilinmeyen alan “bilinmiyor” kalır.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AKS-03 Seçenek ve pilot:</w:t>
      </w:r>
      <w:r>
        <w:t xml:space="preserve"> Alternatifler ekonomik, çevresel ve çalışan etkisiyle yan yana; pilot sorumlusu ve süresi atanır.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AKS-04 Ölç ve karar ver:</w:t>
      </w:r>
      <w:r>
        <w:t xml:space="preserve"> Baz dönemle karşılaştırma (profildeki yoğunluk göstergeleri, atık/fire, öneri uygulama oranı, memnuniyet skoru). İki hedef de eşiği karşılıyorsa standardize et; değilse kök neden ve yeniden tasarım.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AKS-05:</w:t>
      </w:r>
      <w:r>
        <w:t xml:space="preserve"> Yatırım talebinde “enerji/emisyon etkisi” alanı zorunlu; gölge karbon fiyatı varsa senaryo olarak eklenir.</w:t>
      </w:r>
    </w:p>
    <w:p>
      <w:pPr>
        <w:pStyle w:val="Heading3"/>
      </w:pPr>
      <w:r>
        <w:t xml:space="preserve">4.4 Green Kaizen (KZN)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KZN-01:</w:t>
      </w:r>
      <w:r>
        <w:t xml:space="preserve"> Saha çalışanı mobilde 3 alanlı öneri girer: ne gördüm, ne öneriyorum, hangi alan/hat/ekipman. Fotoğraf isteğe bağlı.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KZN-02:</w:t>
      </w:r>
      <w:r>
        <w:t xml:space="preserve"> Elçi ön değerlendirir; uygun öneri AKS-01'e tetikleyici olarak geçer.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KZN-03:</w:t>
      </w:r>
      <w:r>
        <w:t xml:space="preserve"> Uygulanan öneri, ölçülen etkisiyle birlikte öneri sahibine geri bildirilir; tanıma görünür.</w:t>
      </w:r>
    </w:p>
    <w:p>
      <w:pPr>
        <w:pStyle w:val="Heading3"/>
      </w:pPr>
      <w:r>
        <w:t xml:space="preserve">4.5 Regülasyon uyum paketleri (REG)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REG-01:</w:t>
      </w:r>
      <w:r>
        <w:t xml:space="preserve"> Her yükümlülük (CBAM, ulusal ETS/MRV, TSRS, AB müşterilerinin tedarik zinciri talepleri vb.) ayrı ve sürümlü bir pakettir; kurum profiline göre §08 uygulanabilirlik değerlendirmesiyle açılır.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REG-02:</w:t>
      </w:r>
      <w:r>
        <w:t xml:space="preserve"> Tesis ETS kapsamındaysa Kapsam 1 sınırı ulusal MRV kılavuzuna eşlenir; izleme planı sürümlü ve denetlenebilir üretilir.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REG-03:</w:t>
      </w:r>
      <w:r>
        <w:t xml:space="preserve"> Ürün düzeyi yükümlülükler (ör. CBAM gömülü emisyon) ürün bağlamında (§17) hesaplanır; kurumsal toplama eklenmez.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REG-04:</w:t>
      </w:r>
      <w:r>
        <w:t xml:space="preserve"> Yurt içinde ödenen karbon maliyetinin kanıtı, ihracat müşterisine verilecek biçimde hazırlanır (ilgili paket açıksa).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REG-05:</w:t>
      </w:r>
      <w:r>
        <w:t xml:space="preserve"> Ücretsiz tahsis, açık/fazla ve alım-satım senaryoları yalnız senaryo defterinde çalışır.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REG-06:</w:t>
      </w:r>
      <w:r>
        <w:t xml:space="preserve"> Eşikler, tarihler ve benchmark değerleri kod içine yazılmaz; §19 kaynak izleme ile sürümlü kural olarak gelir.</w:t>
      </w:r>
    </w:p>
    <w:p>
      <w:pPr>
        <w:pStyle w:val="Heading3"/>
      </w:pPr>
      <w:r>
        <w:t xml:space="preserve">4.6 Tedarikçi veri programı (TDR)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TDR-01:</w:t>
      </w:r>
      <w:r>
        <w:t xml:space="preserve"> Tedarikçiler harcama ve emisyon yoğunluğuna göre sıralanır; ilk dalga kritik %20.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TDR-02:</w:t>
      </w:r>
      <w:r>
        <w:t xml:space="preserve"> Kısa standart talep şablonu + gizlilik ve “yalnız toplulaştırılmış kullanım” taahhüdü talebin ilk ekranında görünür.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TDR-03:</w:t>
      </w:r>
      <w:r>
        <w:t xml:space="preserve"> Risk temelli denetim: önce öz değerlendirme; yüksek riskte saha ziyareti görevi; ceza yerine düzeltici plan.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TDR-04:</w:t>
      </w:r>
      <w:r>
        <w:t xml:space="preserve"> KOBİ tedarikçiye kısa MRV/karbon muhasebesi dersi ve örnek dolu şablon açılır.</w:t>
      </w:r>
    </w:p>
    <w:p>
      <w:pPr>
        <w:pStyle w:val="Heading3"/>
      </w:pPr>
      <w:r>
        <w:t xml:space="preserve">4.7 Rol bazlı öğrenme yolları (ÖĞR)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ÖĞR-01:</w:t>
      </w:r>
      <w:r>
        <w:t xml:space="preserve"> Yönetici: strateji ve regülasyon (kurum için açık paketler).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ÖĞR-02:</w:t>
      </w:r>
      <w:r>
        <w:t xml:space="preserve"> Mühendis/uzman: karbon ayak izi, yaşam döngüsü, veri kalitesi, MRV.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ÖĞR-03:</w:t>
      </w:r>
      <w:r>
        <w:t xml:space="preserve"> Saha çalışanı: kendi alanında enerji, atık/fire ve güvenlik; 3 dakikayı geçmeyen mobil dersler. Örnekler sektör profilinden gelir.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ÖĞR-04:</w:t>
      </w:r>
      <w:r>
        <w:t xml:space="preserve"> Her ders bir gerçek göreve bağlanır (§07 kuralı korunur); eğitim saati GÖS paketine toplu olarak yazılır.</w:t>
      </w:r>
    </w:p>
    <w:p>
      <w:pPr>
        <w:pStyle w:val="Heading2"/>
      </w:pPr>
      <w:r>
        <w:t xml:space="preserve">5. Yapay zekânın yönlendirici rolü ve sınırları</w:t>
      </w:r>
    </w:p>
    <w:p>
      <w:pPr/>
      <w:r>
        <w:t xml:space="preserve">Yapay zekâ Koza'da “bir sonraki doğru adımı” bulan rehberdir: anlar, sorar, kaynak gösterir, görev önerir. Sayıyı hesap motoru, kararı yetkili insan verir (§24 AI-01–06 aynen geçerli).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Modül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Yapay zekâ ne yapar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Yapay zekâ ne yapamaz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Sektör profili</w:t>
            </w:r>
          </w:p>
        </w:tc>
        <w:tc>
          <w:tcPr>
            <w:tcW w:w="3120" w:type="dxa"/>
          </w:tcPr>
          <w:p>
            <w:pPr/>
            <w:r>
              <w:t xml:space="preserve">Faaliyet tanımından uygun profili ve NACE kodunu önerir, profilin ne getirdiğini açıklar</w:t>
            </w:r>
          </w:p>
        </w:tc>
        <w:tc>
          <w:tcPr>
            <w:tcW w:w="3120" w:type="dxa"/>
          </w:tcPr>
          <w:p>
            <w:pPr/>
            <w:r>
              <w:t xml:space="preserve">Profili onaylamak, kategori silmek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Rehberli veri girişi</w:t>
            </w:r>
          </w:p>
        </w:tc>
        <w:tc>
          <w:tcPr>
            <w:tcW w:w="3120" w:type="dxa"/>
          </w:tcPr>
          <w:p>
            <w:pPr/>
            <w:r>
              <w:t xml:space="preserve">Belgeden alanları okur, eksik bağlamı soru olarak sorar, “neden bu kapsam?” açıklar</w:t>
            </w:r>
          </w:p>
        </w:tc>
        <w:tc>
          <w:tcPr>
            <w:tcW w:w="3120" w:type="dxa"/>
          </w:tcPr>
          <w:p>
            <w:pPr/>
            <w:r>
              <w:t xml:space="preserve">Kapsam/kategori kararını kesinleştirmek, eksik değere sayı atamak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Gösterge sözlüğü</w:t>
            </w:r>
          </w:p>
        </w:tc>
        <w:tc>
          <w:tcPr>
            <w:tcW w:w="3120" w:type="dxa"/>
          </w:tcPr>
          <w:p>
            <w:pPr/>
            <w:r>
              <w:t xml:space="preserve">Tanım taslağı ve olası veri sahibi birimi önerir</w:t>
            </w:r>
          </w:p>
        </w:tc>
        <w:tc>
          <w:tcPr>
            <w:tcW w:w="3120" w:type="dxa"/>
          </w:tcPr>
          <w:p>
            <w:pPr/>
            <w:r>
              <w:t xml:space="preserve">Göstergeyi onaylamak, birim uydurmak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Karar ve aksiyon</w:t>
            </w:r>
          </w:p>
        </w:tc>
        <w:tc>
          <w:tcPr>
            <w:tcW w:w="3120" w:type="dxa"/>
          </w:tcPr>
          <w:p>
            <w:pPr/>
            <w:r>
              <w:t xml:space="preserve">Sapmayı sade dille anlatır, olası kök neden sorularını listeler, görev taslağı yazar</w:t>
            </w:r>
          </w:p>
        </w:tc>
        <w:tc>
          <w:tcPr>
            <w:tcW w:w="3120" w:type="dxa"/>
          </w:tcPr>
          <w:p>
            <w:pPr/>
            <w:r>
              <w:t xml:space="preserve">Aksiyonu kapatmak, etki sayısı tahmin etmek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Green Kaizen</w:t>
            </w:r>
          </w:p>
        </w:tc>
        <w:tc>
          <w:tcPr>
            <w:tcW w:w="3120" w:type="dxa"/>
          </w:tcPr>
          <w:p>
            <w:pPr/>
            <w:r>
              <w:t xml:space="preserve">Öneriyi düzenler, benzer geçmiş önerileri (aynı kurum içinde) bulur</w:t>
            </w:r>
          </w:p>
        </w:tc>
        <w:tc>
          <w:tcPr>
            <w:tcW w:w="3120" w:type="dxa"/>
          </w:tcPr>
          <w:p>
            <w:pPr/>
            <w:r>
              <w:t xml:space="preserve">Öneriyi reddetmek veya puanlamak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Regülasyon paketleri</w:t>
            </w:r>
          </w:p>
        </w:tc>
        <w:tc>
          <w:tcPr>
            <w:tcW w:w="3120" w:type="dxa"/>
          </w:tcPr>
          <w:p>
            <w:pPr/>
            <w:r>
              <w:t xml:space="preserve">Mevzuat değişikliğini kaynaklı özetler, kurum için ne değiştiğini açıklar</w:t>
            </w:r>
          </w:p>
        </w:tc>
        <w:tc>
          <w:tcPr>
            <w:tcW w:w="3120" w:type="dxa"/>
          </w:tcPr>
          <w:p>
            <w:pPr/>
            <w:r>
              <w:t xml:space="preserve">Uygunluk hükmü vermek, karbon fiyatı veya tahsis miktarı tahmin etmek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Tedarikçi programı</w:t>
            </w:r>
          </w:p>
        </w:tc>
        <w:tc>
          <w:tcPr>
            <w:tcW w:w="3120" w:type="dxa"/>
          </w:tcPr>
          <w:p>
            <w:pPr/>
            <w:r>
              <w:t xml:space="preserve">Talep metnini sadeleştirir, eksik yanıta tamamlayıcı soru önerir</w:t>
            </w:r>
          </w:p>
        </w:tc>
        <w:tc>
          <w:tcPr>
            <w:tcW w:w="3120" w:type="dxa"/>
          </w:tcPr>
          <w:p>
            <w:pPr/>
            <w:r>
              <w:t xml:space="preserve">Tedarikçiye kendi başına mesaj göndermek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Öğrenme</w:t>
            </w:r>
          </w:p>
        </w:tc>
        <w:tc>
          <w:tcPr>
            <w:tcW w:w="3120" w:type="dxa"/>
          </w:tcPr>
          <w:p>
            <w:pPr/>
            <w:r>
              <w:t xml:space="preserve">Kullanıcının o anki görevine uygun kısa dersi açar, yanlış cevabın nedenini anlatır</w:t>
            </w:r>
          </w:p>
        </w:tc>
        <w:tc>
          <w:tcPr>
            <w:tcW w:w="3120" w:type="dxa"/>
          </w:tcPr>
          <w:p>
            <w:pPr/>
            <w:r>
              <w:t xml:space="preserve">Yetkinlik belgesi izlenimi vermek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 haritası</w:t>
            </w:r>
          </w:p>
        </w:tc>
        <w:tc>
          <w:tcPr>
            <w:tcW w:w="3120" w:type="dxa"/>
          </w:tcPr>
          <w:p>
            <w:pPr/>
            <w:r>
              <w:t xml:space="preserve">Kurum profiline göre “uygun olabilir” çağrıları listeler</w:t>
            </w:r>
          </w:p>
        </w:tc>
        <w:tc>
          <w:tcPr>
            <w:tcW w:w="3120" w:type="dxa"/>
          </w:tcPr>
          <w:p>
            <w:pPr/>
            <w:r>
              <w:t xml:space="preserve">Hak kazanıldığını söylemek, tutar/tarih uydurmak</w:t>
            </w:r>
          </w:p>
        </w:tc>
      </w:tr>
    </w:tbl>
    <w:p>
      <w:pPr/>
      <w:r>
        <w:t xml:space="preserve">Yanıt biçimi her yerde aynıdır: 2–3 cümle açıklama → dayanak kaynak ve sürüm → kurum için koşul → belirsizlik → önerilen sonraki eylem. Kaynak yoksa: “Bu bilgi için doğrulanmış kaynak bulamadım.”</w:t>
      </w:r>
    </w:p>
    <w:p>
      <w:pPr>
        <w:pStyle w:val="Heading2"/>
      </w:pPr>
      <w:r>
        <w:t xml:space="preserve">6. Aşamalı yol haritası</w:t>
      </w:r>
    </w:p>
    <w:p>
      <w:pPr/>
      <w:r>
        <w:t xml:space="preserve">Forumun 0–6 / 6–18 / 18–36 ay yol haritası, şartnamenin “ilk uçtan uca iz” kuralıyla birleştirildi: önce tek bir doğru veri-hesap-rapor zinciri, sonra iki hedefi besleyen döngü, en son entegrasyon ve dış uyum.</w:t>
      </w:r>
    </w:p>
    <w:p>
      <w:pPr/>
      <w:r>
        <w:drawing>
          <wp:inline distT="0" distB="0" distL="0" distR="0">
            <wp:extent cx="5486400" cy="2767692"/>
            <wp:docPr id="1" name="image1" descr="Koza yol haritası · 3 faz, 2 kapı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oza yol haritası · 3 faz, 2 kapı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Koza yol haritası · 3 faz, 2 kapı</w:t>
      </w:r>
    </w:p>
    <w:p>
      <w:pPr/>
      <w:r>
        <w:t xml:space="preserve">Bir sonraki faza yalnız kapı koşulları sağlandığında geçilir; süreler pilot kapasitesine göre güncellenir ve teslim taahhüdü değildir (§30).</w:t>
      </w:r>
    </w:p>
    <w:p>
      <w:pPr>
        <w:pStyle w:val="Heading2"/>
      </w:pPr>
      <w:r>
        <w:t xml:space="preserve">7. Başarı ölçütleri ve yeni kabul koşulları</w:t>
      </w:r>
    </w:p>
    <w:p>
      <w:pPr/>
      <w:r>
        <w:t xml:space="preserve">Mevcut ürün ölçütleri korunur; forumun iki hedefi üzerine eklenir. Hedef değerler pilot başlangıcındaki ölçümle belirlenir, önceden vaat edilmez.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Katman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Gösterge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Kaynak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Ürün (mevcut)</w:t>
            </w:r>
          </w:p>
        </w:tc>
        <w:tc>
          <w:tcPr>
            <w:tcW w:w="3120" w:type="dxa"/>
          </w:tcPr>
          <w:p>
            <w:pPr/>
            <w:r>
              <w:t xml:space="preserve">İlk doğru kayıt süresi, düzeltme sayısı, kanıtı tam kayıt oranı, uzmandan geri dönen kayıt oranı</w:t>
            </w:r>
          </w:p>
        </w:tc>
        <w:tc>
          <w:tcPr>
            <w:tcW w:w="3120" w:type="dxa"/>
          </w:tcPr>
          <w:p>
            <w:pPr/>
            <w:r>
              <w:t xml:space="preserve">Şartname §02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</w:t>
            </w:r>
          </w:p>
        </w:tc>
        <w:tc>
          <w:tcPr>
            <w:tcW w:w="3120" w:type="dxa"/>
          </w:tcPr>
          <w:p>
            <w:pPr/>
            <w:r>
              <w:t xml:space="preserve">Otomatik toplanan veri oranı, rapor hazırlama süresi, geçerli veri oranı</w:t>
            </w:r>
          </w:p>
        </w:tc>
        <w:tc>
          <w:tcPr>
            <w:tcW w:w="3120" w:type="dxa"/>
          </w:tcPr>
          <w:p>
            <w:pPr/>
            <w:r>
              <w:t xml:space="preserve">Forum, Havva Dönmez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Verimlilik (hedef 1)</w:t>
            </w:r>
          </w:p>
        </w:tc>
        <w:tc>
          <w:tcPr>
            <w:tcW w:w="3120" w:type="dxa"/>
          </w:tcPr>
          <w:p>
            <w:pPr/>
            <w:r>
              <w:t xml:space="preserve">Sektör profilindeki yoğunluk göstergeleri (ör. kWh/ton, kWh/m²), atık/fire oranı, su yoğunluğu</w:t>
            </w:r>
          </w:p>
        </w:tc>
        <w:tc>
          <w:tcPr>
            <w:tcW w:w="3120" w:type="dxa"/>
          </w:tcPr>
          <w:p>
            <w:pPr/>
            <w:r>
              <w:t xml:space="preserve">Forum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Çalışan memnuniyeti (hedef 2)</w:t>
            </w:r>
          </w:p>
        </w:tc>
        <w:tc>
          <w:tcPr>
            <w:tcW w:w="3120" w:type="dxa"/>
          </w:tcPr>
          <w:p>
            <w:pPr/>
            <w:r>
              <w:t xml:space="preserve">Öneri sayısı ve uygulanma oranı, bağlılık skoru, kişi başı eğitim saati</w:t>
            </w:r>
          </w:p>
        </w:tc>
        <w:tc>
          <w:tcPr>
            <w:tcW w:w="3120" w:type="dxa"/>
          </w:tcPr>
          <w:p>
            <w:pPr/>
            <w:r>
              <w:t xml:space="preserve">Forum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Yönetişim</w:t>
            </w:r>
          </w:p>
        </w:tc>
        <w:tc>
          <w:tcPr>
            <w:tcW w:w="3120" w:type="dxa"/>
          </w:tcPr>
          <w:p>
            <w:pPr/>
            <w:r>
              <w:t xml:space="preserve">Hedef sahibi atanma oranı, karar kapısından geçen değişiklik oranı, aksiyon kapanış süresi</w:t>
            </w:r>
          </w:p>
        </w:tc>
        <w:tc>
          <w:tcPr>
            <w:tcW w:w="3120" w:type="dxa"/>
          </w:tcPr>
          <w:p>
            <w:pPr/>
            <w:r>
              <w:t xml:space="preserve">Havva Dönmez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Tedarik zinciri</w:t>
            </w:r>
          </w:p>
        </w:tc>
        <w:tc>
          <w:tcPr>
            <w:tcW w:w="3120" w:type="dxa"/>
          </w:tcPr>
          <w:p>
            <w:pPr/>
            <w:r>
              <w:t xml:space="preserve">Katılan kritik tedarikçi oranı</w:t>
            </w:r>
          </w:p>
        </w:tc>
        <w:tc>
          <w:tcPr>
            <w:tcW w:w="3120" w:type="dxa"/>
          </w:tcPr>
          <w:p>
            <w:pPr/>
            <w:r>
              <w:t xml:space="preserve">Forum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Uyum hazırlığı</w:t>
            </w:r>
          </w:p>
        </w:tc>
        <w:tc>
          <w:tcPr>
            <w:tcW w:w="3120" w:type="dxa"/>
          </w:tcPr>
          <w:p>
            <w:pPr/>
            <w:r>
              <w:t xml:space="preserve">Açık regülasyon paketlerinin çıktılarının düzeltmesiz zamanında hazırlanması</w:t>
            </w:r>
          </w:p>
        </w:tc>
        <w:tc>
          <w:tcPr>
            <w:tcW w:w="3120" w:type="dxa"/>
          </w:tcPr>
          <w:p>
            <w:pPr/>
            <w:r>
              <w:t xml:space="preserve">Forum, Enes Koç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Sektör kapsamı</w:t>
            </w:r>
          </w:p>
        </w:tc>
        <w:tc>
          <w:tcPr>
            <w:tcW w:w="3120" w:type="dxa"/>
          </w:tcPr>
          <w:p>
            <w:pPr/>
            <w:r>
              <w:t xml:space="preserve">Onaylı sektör profili sayısı, “genel profil”le başlayan kurum oranı</w:t>
            </w:r>
          </w:p>
        </w:tc>
        <w:tc>
          <w:tcPr>
            <w:tcW w:w="3120" w:type="dxa"/>
          </w:tcPr>
          <w:p>
            <w:pPr/>
            <w:r>
              <w:t xml:space="preserve">Bu sürüm</w:t>
            </w:r>
          </w:p>
        </w:tc>
      </w:tr>
    </w:tbl>
    <w:p>
      <w:pPr>
        <w:pStyle w:val="Heading3"/>
      </w:pPr>
      <w:r>
        <w:t xml:space="preserve">Yeni kabul koşulları</w:t>
      </w:r>
    </w:p>
    <w:p>
      <w:pPr>
        <w:pStyle w:val="ListParagraph"/>
        <w:numPr>
          <w:ilvl w:val="0"/>
          <w:numId w:val="10"/>
        </w:numPr>
      </w:pPr>
      <w:r>
        <w:t xml:space="preserve">☐ Yoğunluk göstergesi, faaliyet çıktısı düştüğü dönemde “verimlilik arttı” sonucu üretmez; fark ayrıştırması gösterilir.</w:t>
      </w:r>
    </w:p>
    <w:p>
      <w:pPr>
        <w:pStyle w:val="ListParagraph"/>
        <w:numPr>
          <w:ilvl w:val="0"/>
          <w:numId w:val="10"/>
        </w:numPr>
      </w:pPr>
      <w:r>
        <w:t xml:space="preserve">☐ Sektöre özgü gösterge, payda, eşik veya kural kod içinde bulunmaz; yalnız sürümlü profil verisinden okunur.</w:t>
      </w:r>
    </w:p>
    <w:p>
      <w:pPr>
        <w:pStyle w:val="ListParagraph"/>
        <w:numPr>
          <w:ilvl w:val="0"/>
          <w:numId w:val="10"/>
        </w:numPr>
      </w:pPr>
      <w:r>
        <w:t xml:space="preserve">☐ Profil değişikliği geçmiş hesap ve raporları değiştirmez.</w:t>
      </w:r>
    </w:p>
    <w:p>
      <w:pPr>
        <w:pStyle w:val="ListParagraph"/>
        <w:numPr>
          <w:ilvl w:val="0"/>
          <w:numId w:val="10"/>
        </w:numPr>
      </w:pPr>
      <w:r>
        <w:t xml:space="preserve">☐ Aynı kurumdaki iki tesis farklı profillerle çalışabilir; kurum toplamı doğru kalır.</w:t>
      </w:r>
    </w:p>
    <w:p>
      <w:pPr>
        <w:pStyle w:val="ListParagraph"/>
        <w:numPr>
          <w:ilvl w:val="0"/>
          <w:numId w:val="10"/>
        </w:numPr>
      </w:pPr>
      <w:r>
        <w:t xml:space="preserve">☐ Bir aksiyon, etki ölçülmeden “tamamlandı” durumuna geçemez.</w:t>
      </w:r>
    </w:p>
    <w:p>
      <w:pPr>
        <w:pStyle w:val="ListParagraph"/>
        <w:numPr>
          <w:ilvl w:val="0"/>
          <w:numId w:val="10"/>
        </w:numPr>
      </w:pPr>
      <w:r>
        <w:t xml:space="preserve">☐ Green Kaizen önerisi yönetici panosunda kişi bazlı sıralama olarak görünmez.</w:t>
      </w:r>
    </w:p>
    <w:p>
      <w:pPr>
        <w:pStyle w:val="ListParagraph"/>
        <w:numPr>
          <w:ilvl w:val="0"/>
          <w:numId w:val="10"/>
        </w:numPr>
      </w:pPr>
      <w:r>
        <w:t xml:space="preserve">☐ Senaryo defterindeki karbon fiyatı veya tahsis sayısı envanter toplamını değiştiremez.</w:t>
      </w:r>
    </w:p>
    <w:p>
      <w:pPr>
        <w:pStyle w:val="ListParagraph"/>
        <w:numPr>
          <w:ilvl w:val="0"/>
          <w:numId w:val="10"/>
        </w:numPr>
      </w:pPr>
      <w:r>
        <w:t xml:space="preserve">☐ Ürün düzeyi regülasyon sonucu (ör. CBAM gömülü emisyon) kurumsal Kapsam 1–2 toplamına eklenmez.</w:t>
      </w:r>
    </w:p>
    <w:p>
      <w:pPr>
        <w:pStyle w:val="ListParagraph"/>
        <w:numPr>
          <w:ilvl w:val="0"/>
          <w:numId w:val="10"/>
        </w:numPr>
      </w:pPr>
      <w:r>
        <w:t xml:space="preserve">☐ Tedarikçi, gizlilik taahhüdünü görmeden veri gönderme ekranına ulaşamaz.</w:t>
      </w:r>
    </w:p>
    <w:p>
      <w:pPr>
        <w:pStyle w:val="ListParagraph"/>
        <w:numPr>
          <w:ilvl w:val="0"/>
          <w:numId w:val="10"/>
        </w:numPr>
      </w:pPr>
      <w:r>
        <w:t xml:space="preserve">☐ Taslak düzenleme yürürlükteymiş gibi görev yaratmaz; uygulanamaz paket kurumda görev üretmez.</w:t>
      </w:r>
    </w:p>
    <w:p>
      <w:pPr>
        <w:pStyle w:val="ListParagraph"/>
        <w:numPr>
          <w:ilvl w:val="0"/>
          <w:numId w:val="10"/>
        </w:numPr>
      </w:pPr>
      <w:r>
        <w:t xml:space="preserve">☐ Yapay zekâ yanıtı hiçbir modülde hesap motorunun sonucunu değiştirmez (altın test setine eklenir).</w:t>
      </w:r>
    </w:p>
    <w:p>
      <w:pPr>
        <w:pStyle w:val="Heading2"/>
      </w:pPr>
      <w:r>
        <w:t xml:space="preserve">8. Uygulamayı geliştirecek yapay zekâya güncellenmiş talimat</w:t>
      </w:r>
    </w:p>
    <w:p>
      <w:pPr/>
      <w:r>
        <w:t xml:space="preserve">Aşağıdaki metin şartnamenin §31'ine eklenir. Claude Code ile geliştirmede aynı kurallar, depo kökündeki CLAUDE.md dosyasında geliştirici iş akışı şemasıyla birlikte yer alır.</w:t>
      </w:r>
    </w:p>
    <w:p>
      <w:pPr>
        <w:pStyle w:val="Code"/>
      </w:pPr>
      <w:bookmarkStart w:id="1" w:name="bongo_lang_markdown_1"/>
      <w:bookmarkEnd w:id="1"/>
      <w:r>
        <w:t xml:space="preserve"># KOZA — Geliştirme talimatı (v1.1 eki)</w:t>
        <w:br/>
        <w:br/>
        <w:t xml:space="preserve">Rolün: Koza'yı, KOZA Ürün ve Geliştirme Şartnamesi v1.0 ve bu v1.1 ekine göre geliştiren yazılım ekibisin.</w:t>
        <w:br/>
        <w:br/>
        <w:t xml:space="preserve">Değişmeyen çekirdek:</w:t>
        <w:br/>
        <w:t xml:space="preserve">- Birincil kullanıcı konuya yeni başlayan çalışandır. Ekranlar "Ne yapmak istiyorsun?" ve "Sonraki adım" etrafında kurulur.</w:t>
        <w:br/>
        <w:t xml:space="preserve">- Hesabı deterministik, sürümlü hesap motoru yapar. Yapay zekâ açıklar, sorar, kaynak gösterir, görev önerir; sayı üretmez, onaylamaz, yayımlamaz, dışarıya mesaj göndermez.</w:t>
        <w:br/>
        <w:t xml:space="preserve">- Boş, sıfır, bilinmeyen, uygulanamaz ve tahmini durumları her katmanda ayır.</w:t>
        <w:br/>
        <w:br/>
        <w:t xml:space="preserve">Sektörden bağımsızlık:</w:t>
        <w:br/>
        <w:t xml:space="preserve">- Çekirdek her sektörde aynıdır. Sektöre özgü gösterge, yoğunluk paydası, kaynak sorusu, öncelikli Kapsam 3 kategorisi, ders ve regülasyon paketi sürümlü sektör profili verisidir (SEK). Koda sektör adıyla dallanma (if sector == ...) yazma.</w:t>
        <w:br/>
        <w:t xml:space="preserve">- Kurumun iki hedefi vardır: verimlilik (profildeki yoğunluk göstergeleri, atık/fire) ve çalışan memnuniyeti (öneri uygulama oranı, bağlılık). Her modül bu hedeflerden en az birine ölçülebilir katkı sağlar.</w:t>
        <w:br/>
        <w:br/>
        <w:t xml:space="preserve">Uygulama sırası:</w:t>
        <w:br/>
        <w:t xml:space="preserve">1. Şartname §31'deki ilk uçtan uca iz: kurum kurulumu → doğal gaz kaydı → hesap → inceleme → rapor. Ardından elektrik (konum ve piyasa bazlı).</w:t>
        <w:br/>
        <w:t xml:space="preserve">2. SEK + GÖS: sektör profili şeması, “genel profil” ve iki örnek profil; çekirdek gösterge paketi ve yoğunluk panosu.</w:t>
        <w:br/>
        <w:t xml:space="preserve">3. KZN + ÖĞR: saha mobil görünümü, Green Kaizen, rol bazlı ders yolları.</w:t>
        <w:br/>
        <w:t xml:space="preserve">4. AKS: sapma → görev → kök neden → düzeltici faaliyet → etki doğrulaması; yatırım talebi karar kapısı.</w:t>
        <w:br/>
        <w:t xml:space="preserve">5. TDR + Kapsam 3: profilin öncelikli kategorileri.</w:t>
        <w:br/>
        <w:t xml:space="preserve">6. REG: uygulanabilirlik değerlendirmesiyle açılan paketler (MRV izleme planı, ürün düzeyi gömülü emisyon), senaryo defteri.</w:t>
        <w:br/>
        <w:br/>
        <w:t xml:space="preserve">Kurallar:</w:t>
        <w:br/>
        <w:t xml:space="preserve">- Her yeni modül mevcut kanıt/onay, yetki ve tenant izolasyonunu kullanır; ayrı hesap yolu açmaz.</w:t>
        <w:br/>
        <w:t xml:space="preserve">- Regülasyon eşik, tarih, benchmark ve fiyatlarını koda yazma; kaynak izleme (§19) üzerinden sürümlü kural olarak al. Kaynak doğrulanmadıysa "inceleme gerekli" göster.</w:t>
        <w:br/>
        <w:t xml:space="preserve">- Senaryo defteri (karbon fiyatı, tahsis, alım-satım) envanteri değiştiremez.</w:t>
        <w:br/>
        <w:t xml:space="preserve">- Saha ve öğrenme verisini kişisel performans sıralamasına çevirme; birim düzeyinde toplulaştır.</w:t>
        <w:br/>
        <w:t xml:space="preserve">- Doğrulanmamış iş ortağı, fon, fiyat veya tasarruf yüzdesi gösterme.</w:t>
        <w:br/>
        <w:br/>
        <w:t xml:space="preserve">Teslim biçimi (her dilimde):</w:t>
        <w:br/>
        <w:t xml:space="preserve">- Çalışan değişiklik, etkilenen dosyalar, göçler, test kanıtı.</w:t>
        <w:br/>
        <w:t xml:space="preserve">- Karşılanan gereklilik kimlikleri (örn. SEK-03, AKS-04) ve kabul testleri.</w:t>
        <w:br/>
        <w:t xml:space="preserve">- Desteklenen yöntemler ve açık eksikler. Sessiz varsayım yapma; belirsizliği karar kaydına yaz.</w:t>
      </w:r>
    </w:p>
    <w:p>
      <w:pPr>
        <w:pStyle w:val="Heading2"/>
      </w:pPr>
      <w:r>
        <w:t xml:space="preserve">9. Açık kararlar ve doğrulanacak konular</w:t>
      </w:r>
    </w:p>
    <w:p>
      <w:pPr/>
      <w:r>
        <w:t xml:space="preserve">Bunlar geliştirme başlamadan karar kaydına (§32) alınır; yapay zekâ bu noktalarda varsayım yapmaz.</w:t>
      </w:r>
    </w:p>
    <w:p>
      <w:pPr>
        <w:pStyle w:val="ListParagraph"/>
        <w:numPr>
          <w:ilvl w:val="0"/>
          <w:numId w:val="11"/>
        </w:numPr>
      </w:pPr>
      <w:r>
        <w:t xml:space="preserve">☐ Pilotun hangi sektör profilleriyle başlayacağı ve ilk profillerin alan uzmanı tarafından onaylanması.</w:t>
      </w:r>
    </w:p>
    <w:p>
      <w:pPr>
        <w:pStyle w:val="ListParagraph"/>
        <w:numPr>
          <w:ilvl w:val="0"/>
          <w:numId w:val="11"/>
        </w:numPr>
      </w:pPr>
      <w:r>
        <w:t xml:space="preserve">☐ Sektör profili sınıflandırması: NACE düzeyi (bölüm/grup) ve çok faaliyetli kurumlarda profil birleştirme kuralı.</w:t>
      </w:r>
    </w:p>
    <w:p>
      <w:pPr>
        <w:pStyle w:val="ListParagraph"/>
        <w:numPr>
          <w:ilvl w:val="0"/>
          <w:numId w:val="11"/>
        </w:numPr>
      </w:pPr>
      <w:r>
        <w:t xml:space="preserve">☐ Ulusal ETS'nin güncel durumu: ikincil mevzuat, pilot dönem, MRV kılavuzu ve ücretsiz tahsis kuralları resmî kaynaktan doğrulanacak.</w:t>
      </w:r>
    </w:p>
    <w:p>
      <w:pPr>
        <w:pStyle w:val="ListParagraph"/>
        <w:numPr>
          <w:ilvl w:val="0"/>
          <w:numId w:val="11"/>
        </w:numPr>
      </w:pPr>
      <w:r>
        <w:t xml:space="preserve">☐ CBAM'de menşe ülkede ödenen karbon fiyatının düşülmesi için gereken kanıt formatı AB'nin güncel uygulama mevzuatından doğrulanacak.</w:t>
      </w:r>
    </w:p>
    <w:p>
      <w:pPr>
        <w:pStyle w:val="ListParagraph"/>
        <w:numPr>
          <w:ilvl w:val="0"/>
          <w:numId w:val="11"/>
        </w:numPr>
      </w:pPr>
      <w:r>
        <w:t xml:space="preserve">☐ Sektör dernekleri, OSB'ler ve üniversitelerle ortak veri şablonu ve tedarikçi eğitimi: iş birliği kazanılmış kabul edilmez; teklif ve onay süreci tanımlanacak.</w:t>
      </w:r>
    </w:p>
    <w:p>
      <w:pPr>
        <w:pStyle w:val="ListParagraph"/>
        <w:numPr>
          <w:ilvl w:val="0"/>
          <w:numId w:val="11"/>
        </w:numPr>
      </w:pPr>
      <w:r>
        <w:t xml:space="preserve">☐ Green Kaizen ve saha çalışanı verisi için KVKK değerlendirmesi ve çalışan temsilcisi görüşü alınacak.</w:t>
      </w:r>
    </w:p>
    <w:p>
      <w:pPr>
        <w:pStyle w:val="ListParagraph"/>
        <w:numPr>
          <w:ilvl w:val="0"/>
          <w:numId w:val="11"/>
        </w:numPr>
      </w:pPr>
      <w:r>
        <w:t xml:space="preserve">☐ Bağlılık/memnuniyet skorunun ölçüm yöntemi (anket, sıklık, anonimlik) seçilecek.</w:t>
      </w:r>
    </w:p>
    <w:p>
      <w:pPr>
        <w:pStyle w:val="ListParagraph"/>
        <w:numPr>
          <w:ilvl w:val="0"/>
          <w:numId w:val="11"/>
        </w:numPr>
      </w:pPr>
      <w:r>
        <w:t xml:space="preserve">☐ Gölge karbon fiyatı değerini kimin belirleyeceği ve ne sıklıkla güncelleneceği netleştirilecek.</w:t>
      </w:r>
    </w:p>
    <w:p>
      <w:pPr>
        <w:pStyle w:val="ListParagraph"/>
        <w:numPr>
          <w:ilvl w:val="0"/>
          <w:numId w:val="11"/>
        </w:numPr>
      </w:pPr>
      <w:r>
        <w:t xml:space="preserve">☐ Fon haritası kaynakları (Horizon Europe, LIFE, IPA, TÜBİTAK, KOSGEB, kalkınma ajansları, yeşil krediler) yalnız resmî çağrı metinleriyle beslenecek.</w:t>
      </w:r>
    </w:p>
    <w:p>
      <w:pPr/>
      <w:r>
        <w:rPr>
          <w:b/>
        </w:rPr>
        <w:t xml:space="preserve">Kaynak belgeler:</w:t>
      </w:r>
      <w:r>
        <w:t xml:space="preserve"> KOZA Ürün ve Geliştirme Şartnamesi v1.0 (12 Ekim 2026); GreenSync Young Professionals Forum — ESG Fishbone: Solution Proposals (EMES grubu) ve Enes Koç'un TR ETS eki; Havva Dönmez — sürdürülebilirlik sistem mimarisi ve karar akışı.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KOZA v1.1 — Forum Bulgularıyla Geliştirilmiş Ürün Yönü ve Yapay Zekâ Geliştirme</dc:title>
  <dc:description>Claude Docs node/b5929cfc-fc05@27 docx-w6</dc:description>
  <cp:revision>27</cp:revision>
</cp:coreProperties>
</file>