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3EB4AC46" w:rsidTr="3EB4AC46" w14:paraId="609B5404">
        <w:trPr>
          <w:trHeight w:val="3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23274B0F" w14:textId="15B3EA20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ANA PROBLEM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5CC1EE9D" w14:textId="4C0B1BB7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Sürdürülebilirlik odaklı sistem mimarisi bulunmuyor.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1F92F385" w14:textId="1C2B137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HEDEF 1 | VERİMLİLİK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54F545A5" w14:textId="3287442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Kaynak tüketimi, hurda ve süreç kayıplarını azaltmak.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6C54ED82" w14:textId="35859AE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HEDEF 2 | ÇALIŞAN MEMNUNİYETİ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6BA31C01" w14:textId="7F7257A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Katılım, yetkinlik, güvenlik ve çalışma deneyimini iyileştirmek. </w:t>
            </w:r>
          </w:p>
        </w:tc>
      </w:tr>
    </w:tbl>
    <w:p xmlns:wp14="http://schemas.microsoft.com/office/word/2010/wordml" w:rsidP="3EB4AC46" wp14:paraId="5E5D5E79" wp14:textId="17BD9BEA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1964C2BC" wp14:textId="0BA99492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3EB4AC46" w:rsidTr="3EB4AC46" w14:paraId="4C3912F5">
        <w:trPr>
          <w:trHeight w:val="3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4BB1230B" w14:textId="5C07176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1. STRATEJİ VE SAHİPLİK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178B168F" w14:textId="0C6886E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Yönetim sponsoru → süreç sahipleri → ortak hedefler → bütçe ve yetki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5C3855F7" w14:textId="0FE1E90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2. SÜREÇ MİMARİSİ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5AF83D79" w14:textId="0A054A18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Üretim, yatırım, satın alma, İK ve bakım süreçlerinde sürdürülebilirlik karar kapıları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1C38DE66" w14:textId="1317A9F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3. VERİ YÖNETİŞİMİ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63DDFEB8" w14:textId="5F2BC52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KPI tanımı → veri sahibi → ölçüm standardı → kalite kuralı → erişim yetkisi </w:t>
            </w:r>
          </w:p>
        </w:tc>
      </w:tr>
    </w:tbl>
    <w:p xmlns:wp14="http://schemas.microsoft.com/office/word/2010/wordml" w:rsidP="3EB4AC46" wp14:paraId="786C40F7" wp14:textId="4E293D59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312BD75A" wp14:textId="771BC8DE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3EB4AC46" w:rsidTr="3EB4AC46" w14:paraId="0346FF99">
        <w:trPr>
          <w:trHeight w:val="3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276E2B8B" w14:textId="482C974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4. ENTEGRASYON KATMANI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5958AC17" w14:textId="19E1466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ERP + MES + sayaç/IoT + çevre + İK + tedarikçi → API / kontrollü veri girişi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3461B61A" w14:textId="30577DD4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5. ORTAK ESG VERİ KATMANI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7E7AE795" w14:textId="6770606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Enerji • su • emisyon • atık • üretim • İSG • çalışan • finans • tedarikçi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24B0A629" w14:textId="21B0418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6. KARAR VE AKSİYON MOTORU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7C50C7BF" w14:textId="674C4E2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KPI sapması → görev → kök neden → düzeltici faaliyet → etki doğrulaması </w:t>
            </w:r>
          </w:p>
        </w:tc>
      </w:tr>
    </w:tbl>
    <w:p xmlns:wp14="http://schemas.microsoft.com/office/word/2010/wordml" w:rsidP="3EB4AC46" wp14:paraId="1B7AD764" wp14:textId="01761BFC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D79C112" wp14:textId="0CEE675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3EB4AC46" w:rsidTr="3EB4AC46" w14:paraId="38DB4076">
        <w:trPr>
          <w:trHeight w:val="3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4310A6C2" w14:textId="0D053A8E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OPERASYONEL ÇIKTI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133C48F9" w14:textId="79AE2FD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Hat bazlı verimlilik projeleri, yatırım öncelikleri, kaynak optimizasyonu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1250B3AF" w14:textId="0387CD0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İNSAN ODAKLI ÇIKTI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6975EAC2" w14:textId="0B96C08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Green Kaizen, eğitim, iş yükü/ergonomi kontrolü, çalışan geri bildirimi 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3F5F4"/>
            <w:tcMar/>
            <w:vAlign w:val="center"/>
          </w:tcPr>
          <w:p w:rsidR="3EB4AC46" w:rsidP="3EB4AC46" w:rsidRDefault="3EB4AC46" w14:paraId="14DD9E9B" w14:textId="1BDD7D7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KURUMSAL ÇIKTI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5A844347" w14:textId="46DE504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Yönetim panosu, uyum veri seti, tedarikçi geliştirme, denetlenebilir kayıt </w:t>
            </w:r>
          </w:p>
        </w:tc>
      </w:tr>
    </w:tbl>
    <w:p xmlns:wp14="http://schemas.microsoft.com/office/word/2010/wordml" w:rsidP="3EB4AC46" wp14:paraId="12CA3B39" wp14:textId="62DE97EA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1ED43AD4" wp14:textId="46A6513E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0A19993D" wp14:textId="1C7534BB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49669974" wp14:textId="3DC57D92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1934F26E" w:rsidR="1934F26E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highlight w:val="yellow"/>
          <w:lang w:val="tr-TR"/>
        </w:rPr>
        <w:t>SİSTEMİN İŞLEYİŞİ | KARAR AKIŞI</w:t>
      </w:r>
      <w:r w:rsidRPr="1934F26E" w:rsidR="1934F26E">
        <w:rPr>
          <w:rFonts w:ascii="Calibri" w:hAnsi="Calibri" w:eastAsia="Calibri" w:cs="Calibri"/>
          <w:noProof w:val="0"/>
          <w:color w:val="auto"/>
          <w:sz w:val="28"/>
          <w:szCs w:val="28"/>
          <w:lang w:val="tr-TR"/>
        </w:rPr>
        <w:t xml:space="preserve"> </w:t>
      </w:r>
    </w:p>
    <w:p xmlns:wp14="http://schemas.microsoft.com/office/word/2010/wordml" w:rsidP="3EB4AC46" wp14:paraId="717A196A" wp14:textId="20D29456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Süreç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sahipleri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,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veri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akışı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ve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iyileştirme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kararları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tek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bir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işletim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döngüsünde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çalışır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  <w:r>
        <w:br/>
      </w:r>
    </w:p>
    <w:p xmlns:wp14="http://schemas.microsoft.com/office/word/2010/wordml" w:rsidP="3EB4AC46" wp14:paraId="47B25743" wp14:textId="5F44AD5A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BAŞLAT | Yeni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ihtiyaç veya performans sapması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04E8B747" wp14:textId="63B210E4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Yeni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yatırım, hat değişikliği, tüketim artışı, çalışan önerisi ya da mevzuat gereksinimi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5A588BF" wp14:textId="3EE37AA7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78032E02" wp14:textId="1062DB40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2DFC208" wp14:textId="674C02BC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ÖN DEĞERLENDİR |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Sürdürülebilirlik karar kapısı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323D78E2" wp14:textId="4CDCCB79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Enerji,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su, karbon, hurda, İSG, ergonomi, iş yükü ve maliyet etkilerini belirle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1066D9E8" wp14:textId="70D648B8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1ED5424F" wp14:textId="6AF08116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4662806" wp14:textId="5D6249BE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VERİYİ DOĞRULA |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Güvenilir kayıt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E02A720" wp14:textId="3FFCE2F5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Veri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sözleşmesi testleri: kaynak, birim, zaman, tutarlılık; uygunsuz kayıt → düzeltme kuyruğu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30C1707" wp14:textId="12640AE9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3132D69B" wp14:textId="5918F785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C708A93" wp14:textId="0C5C4D67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SEÇENEK ÜRET |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Karşılaştırmalı karar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D9864CD" wp14:textId="41AE216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Alternatif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proses / ekipman / çalışma yöntemi; ekonomik ve çevresel fayda ile çalışan etkisini birlikte karşılaştır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3BBAE826" wp14:textId="495AFE6F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0624397" wp14:textId="17E3B171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26DD1EAB" wp14:textId="1C86800F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PİLOT UYGULA | Saha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ve çalışan katılımı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4A01B6F9" wp14:textId="17D866B6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Üretim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, bakım, İK, İSG ve çalışan temsilcileriyle kontrollü deneme; eğitim ve geri bildirim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E7043C2" wp14:textId="5BDD30AB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0B870B9" wp14:textId="09820FD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15FD0B02" wp14:textId="147045F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SONUCU ÖLÇ | İki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hedefi birlikte doğrula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04745992" wp14:textId="4A3AD5EB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Baz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dönem ile kWh/ton, hurda, m³/ton, öneri uygulama oranı ve çalışan memnuniyet skorunu karşılaştır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FFEAA3A" wp14:textId="31A6F002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41D0C36C" wp14:textId="7C3511AB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↓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6898971A" wp14:textId="63CB5053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 xml:space="preserve">KARAR | </w:t>
      </w: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Ölçekleme kapısı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4B45F8EB" wp14:textId="6EA73797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Her 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>iki hedef kabul edilen eşikleri karşılıyorsa standardize et ve yaygınlaştır; değilse kök neden ve yeniden tasarım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44F7A183" wp14:textId="1ABDD406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7761731F" wp14:textId="09219D73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465C0EF1" wp14:textId="49C3741A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4F92719B" wp14:textId="35FA41F8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55CC2B05" wp14:textId="05C76A83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41F8E6AB" wp14:textId="7ACDBADB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3957D5E6" wp14:textId="218E6F5D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color w:val="auto"/>
          <w:sz w:val="24"/>
          <w:szCs w:val="24"/>
        </w:rPr>
      </w:pPr>
    </w:p>
    <w:p xmlns:wp14="http://schemas.microsoft.com/office/word/2010/wordml" w:rsidP="3EB4AC46" wp14:paraId="2DDC6A36" wp14:textId="3FBE6BDF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tr-TR"/>
        </w:rPr>
        <w:t>YÖNETİM MODELİ VE UYGULAMA PLANI</w:t>
      </w: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p xmlns:wp14="http://schemas.microsoft.com/office/word/2010/wordml" w:rsidP="3EB4AC46" wp14:paraId="47450DF0" wp14:textId="5951EA58">
      <w:pPr>
        <w:bidi w:val="0"/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  <w:r w:rsidRPr="3EB4AC46" w:rsidR="3EB4AC46"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3EB4AC46" w:rsidTr="3EB4AC46" w14:paraId="0F30B78B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center"/>
          </w:tcPr>
          <w:p w:rsidR="3EB4AC46" w:rsidP="3EB4AC46" w:rsidRDefault="3EB4AC46" w14:paraId="5F8FC523" w14:textId="433FA79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Mimari bileşen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677F67FA" w14:textId="6FAD09CB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center"/>
          </w:tcPr>
          <w:p w:rsidR="3EB4AC46" w:rsidP="3EB4AC46" w:rsidRDefault="3EB4AC46" w14:paraId="29F81F85" w14:textId="36A9B567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Sorumlu birimler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7E441AA4" w14:textId="0B93582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center"/>
          </w:tcPr>
          <w:p w:rsidR="3EB4AC46" w:rsidP="3EB4AC46" w:rsidRDefault="3EB4AC46" w14:paraId="636BC9FB" w14:textId="472C01EA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Somut teslimat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5533BE60" w14:textId="033B241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center"/>
          </w:tcPr>
          <w:p w:rsidR="3EB4AC46" w:rsidP="3EB4AC46" w:rsidRDefault="3EB4AC46" w14:paraId="2532A575" w14:textId="2AB11CF1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b w:val="1"/>
                <w:bCs w:val="1"/>
                <w:color w:val="auto"/>
                <w:sz w:val="24"/>
                <w:szCs w:val="24"/>
              </w:rPr>
              <w:t>Başarı ölçütü</w:t>
            </w: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  <w:p w:rsidR="3EB4AC46" w:rsidP="3EB4AC46" w:rsidRDefault="3EB4AC46" w14:paraId="6F530312" w14:textId="303C2040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 </w:t>
            </w:r>
          </w:p>
        </w:tc>
      </w:tr>
      <w:tr w:rsidR="3EB4AC46" w:rsidTr="3EB4AC46" w14:paraId="69D423DF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58677C93" w14:textId="495D6FA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Yönetişim ve strateji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04752808" w14:textId="441D41D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Üst yönetim, sürdürülebilirlik, finans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73E0A599" w14:textId="2541465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Hedef kartı, RACI, yatırım onay kuralları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19249547" w14:textId="4BC0AA1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Hedef sahibi atanma oranı </w:t>
            </w:r>
          </w:p>
        </w:tc>
      </w:tr>
      <w:tr w:rsidR="3EB4AC46" w:rsidTr="3EB4AC46" w14:paraId="71E747A3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5BEE0E0A" w14:textId="7EA6C1D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Süreç mimarisi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67E2CB57" w14:textId="6B11F06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Üretim, bakım, satın alma, İK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67515BE3" w14:textId="1C14783B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Karar kapıları ve süreç akışları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22EB1C48" w14:textId="259CEA8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ESG değerlendirmesinden geçen değişiklik oranı </w:t>
            </w:r>
          </w:p>
        </w:tc>
      </w:tr>
      <w:tr w:rsidR="3EB4AC46" w:rsidTr="3EB4AC46" w14:paraId="7875CD0D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2C982431" w14:textId="5600010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Veri ve entegrasyon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19C601A0" w14:textId="658EAD3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BT, enerji, çevre, kalite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240995A3" w14:textId="7A52DB2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Veri sözleşmeleri, entegrasyon, kontrol kayıtları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0C9947B4" w14:textId="4DBA5AB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Otomatik veri ve geçerli veri oranı </w:t>
            </w:r>
          </w:p>
        </w:tc>
      </w:tr>
      <w:tr w:rsidR="3EB4AC46" w:rsidTr="3EB4AC46" w14:paraId="14C2B289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057EE99C" w14:textId="1EB3F9E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Karar ve aksiyon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28A0C623" w14:textId="734F62D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Üretim, bakım, İSG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4D50C480" w14:textId="4545273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Sapma uyarısı, görev, düzeltici faaliyet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0D9AF2FC" w14:textId="51AF936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Aksiyon kapanış süresi, tekrar eden sapmalar </w:t>
            </w:r>
          </w:p>
        </w:tc>
      </w:tr>
      <w:tr w:rsidR="3EB4AC46" w:rsidTr="3EB4AC46" w14:paraId="2EB9AB75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7BFCAF3F" w14:textId="6E8C5F4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Çalışan deneyimi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3DFF78BC" w14:textId="6325E70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İK, İSG, üretim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268FCBB6" w14:textId="175898C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Green Kaizen, eğitim ve etki kontrolü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185D170D" w14:textId="0411571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Memnuniyet skoru, uygulanan öneri oranı </w:t>
            </w:r>
          </w:p>
        </w:tc>
      </w:tr>
      <w:tr w:rsidR="3EB4AC46" w:rsidTr="3EB4AC46" w14:paraId="36482973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406044C5" w14:textId="40D1762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Tedarik ve dış paydaş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259169D9" w14:textId="2B741D13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Satın alma, sürdürülebilirlik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16617A97" w14:textId="3D042D5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Tedarikçi veri ve gelişim programı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30094AD7" w14:textId="56125335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Katılan kritik tedarikçi oranı </w:t>
            </w:r>
          </w:p>
        </w:tc>
      </w:tr>
      <w:tr w:rsidR="3EB4AC46" w:rsidTr="3EB4AC46" w14:paraId="49A81697">
        <w:trPr>
          <w:trHeight w:val="300"/>
        </w:trPr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12B22D35" w14:textId="2AC0A511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Güvence ve süreklilik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4C5FE887" w14:textId="393CA3A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BT, iç kontrol, sürdürülebilirlik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0F0AA63D" w14:textId="4D0FB17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Denetim izi, yedek süreç, veri mutabakatı </w:t>
            </w:r>
          </w:p>
        </w:tc>
        <w:tc>
          <w:tcPr>
            <w:tcW w:w="22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3F5F4"/>
            <w:tcMar/>
            <w:vAlign w:val="top"/>
          </w:tcPr>
          <w:p w:rsidR="3EB4AC46" w:rsidP="3EB4AC46" w:rsidRDefault="3EB4AC46" w14:paraId="1B5715A1" w14:textId="0FAF995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color w:val="auto"/>
                <w:sz w:val="24"/>
                <w:szCs w:val="24"/>
              </w:rPr>
            </w:pPr>
            <w:r w:rsidRPr="3EB4AC46" w:rsidR="3EB4AC46">
              <w:rPr>
                <w:rFonts w:ascii="Calibri" w:hAnsi="Calibri" w:eastAsia="Calibri" w:cs="Calibri"/>
                <w:color w:val="auto"/>
                <w:sz w:val="24"/>
                <w:szCs w:val="24"/>
              </w:rPr>
              <w:t xml:space="preserve">Veri kesintisi ve düzeltme süresi </w:t>
            </w:r>
          </w:p>
        </w:tc>
      </w:tr>
    </w:tbl>
    <w:p xmlns:wp14="http://schemas.microsoft.com/office/word/2010/wordml" w:rsidP="3EB4AC46" wp14:paraId="54B211CE" wp14:textId="5DE8ADC2">
      <w:pPr>
        <w:bidi w:val="0"/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color w:val="auto"/>
          <w:sz w:val="24"/>
          <w:szCs w:val="24"/>
          <w:lang w:val="tr-TR"/>
        </w:rPr>
      </w:pPr>
    </w:p>
    <w:p xmlns:wp14="http://schemas.microsoft.com/office/word/2010/wordml" w:rsidP="3EB4AC46" wp14:paraId="1DB4442F" wp14:textId="65661199">
      <w:pPr/>
      <w:r w:rsidRPr="1934F26E" w:rsidR="1934F26E">
        <w:rPr>
          <w:rFonts w:ascii="Calibri" w:hAnsi="Calibri" w:eastAsia="Calibri" w:cs="Calibri"/>
          <w:color w:val="auto"/>
          <w:sz w:val="24"/>
          <w:szCs w:val="24"/>
        </w:rPr>
        <w:t>Havva Dönmez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990718"/>
    <w:rsid w:val="1934F26E"/>
    <w:rsid w:val="3EB4AC46"/>
    <w:rsid w:val="5599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EB092"/>
  <w15:chartTrackingRefBased/>
  <w15:docId w15:val="{A2B6235C-5BE7-4EA2-BEDD-24F25D896F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2026-10-08T17:22:42.3731142Z</dcterms:created>
  <dcterms:modified xsi:type="dcterms:W3CDTF">2026-10-08T17:26:01.4411861Z</dcterms:modified>
  <dc:creator>Konuk Kullanıcı</dc:creator>
  <lastModifiedBy>Konuk Kullanıcı</lastModifiedBy>
</coreProperties>
</file>