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813B30" wp14:paraId="372FDE34" wp14:textId="09655084">
      <w:pPr>
        <w:spacing w:before="0" w:beforeAutospacing="off" w:after="60" w:afterAutospacing="off"/>
      </w:pPr>
      <w:r w:rsidRPr="58813B30" w:rsidR="58813B30">
        <w:rPr>
          <w:rFonts w:ascii="Calibri" w:hAnsi="Calibri" w:eastAsia="Calibri" w:cs="Calibri"/>
          <w:b w:val="1"/>
          <w:bCs w:val="1"/>
          <w:noProof w:val="0"/>
          <w:color w:val="5F6B64"/>
          <w:sz w:val="20"/>
          <w:szCs w:val="20"/>
          <w:lang w:val="tr-TR"/>
        </w:rPr>
        <w:t>GREENSYNC ECOSYSTEM · YOUNG PROFESSIONALS FORUM</w:t>
      </w:r>
    </w:p>
    <w:p xmlns:wp14="http://schemas.microsoft.com/office/word/2010/wordml" w:rsidP="58813B30" wp14:paraId="5937F748" wp14:textId="3CCBC79A">
      <w:pPr>
        <w:spacing w:before="0" w:beforeAutospacing="off" w:after="80" w:afterAutospacing="off"/>
      </w:pPr>
      <w:r w:rsidRPr="58813B30" w:rsidR="58813B30">
        <w:rPr>
          <w:rFonts w:ascii="Calibri" w:hAnsi="Calibri" w:eastAsia="Calibri" w:cs="Calibri"/>
          <w:b w:val="1"/>
          <w:bCs w:val="1"/>
          <w:noProof w:val="0"/>
          <w:color w:val="2E4A3A"/>
          <w:sz w:val="44"/>
          <w:szCs w:val="44"/>
          <w:lang w:val="tr-TR"/>
        </w:rPr>
        <w:t>ESG Fishbone: Solution Proposals</w:t>
      </w:r>
    </w:p>
    <w:p xmlns:wp14="http://schemas.microsoft.com/office/word/2010/wordml" w:rsidP="58813B30" wp14:paraId="728CFD87" wp14:textId="6D57F041">
      <w:pPr>
        <w:pBdr>
          <w:bottom w:val="single" w:color="2E4A3A" w:sz="8" w:space="8"/>
        </w:pBdr>
        <w:spacing w:before="0" w:beforeAutospacing="off" w:after="240" w:afterAutospacing="off"/>
      </w:pPr>
      <w:r w:rsidRPr="58813B30" w:rsidR="58813B30">
        <w:rPr>
          <w:rFonts w:ascii="Calibri" w:hAnsi="Calibri" w:eastAsia="Calibri" w:cs="Calibri"/>
          <w:b w:val="1"/>
          <w:bCs w:val="1"/>
          <w:noProof w:val="0"/>
          <w:color w:val="5F6B64"/>
          <w:sz w:val="22"/>
          <w:szCs w:val="22"/>
          <w:lang w:val="tr-TR"/>
        </w:rPr>
        <w:t xml:space="preserve">Theme: </w:t>
      </w:r>
      <w:r w:rsidRPr="58813B30" w:rsidR="58813B30">
        <w:rPr>
          <w:rFonts w:ascii="Calibri" w:hAnsi="Calibri" w:eastAsia="Calibri" w:cs="Calibri"/>
          <w:noProof w:val="0"/>
          <w:color w:val="5F6B64"/>
          <w:sz w:val="22"/>
          <w:szCs w:val="22"/>
          <w:lang w:val="tr-TR"/>
        </w:rPr>
        <w:t>Responsible Production in Business</w:t>
      </w:r>
      <w:r w:rsidRPr="58813B30" w:rsidR="58813B30">
        <w:rPr>
          <w:rFonts w:ascii="Calibri" w:hAnsi="Calibri" w:eastAsia="Calibri" w:cs="Calibri"/>
          <w:b w:val="1"/>
          <w:bCs w:val="1"/>
          <w:noProof w:val="0"/>
          <w:color w:val="5F6B64"/>
          <w:sz w:val="22"/>
          <w:szCs w:val="22"/>
          <w:lang w:val="tr-TR"/>
        </w:rPr>
        <w:t xml:space="preserve">   ·   Group: </w:t>
      </w:r>
      <w:r w:rsidRPr="58813B30" w:rsidR="58813B30">
        <w:rPr>
          <w:rFonts w:ascii="Calibri" w:hAnsi="Calibri" w:eastAsia="Calibri" w:cs="Calibri"/>
          <w:noProof w:val="0"/>
          <w:color w:val="5F6B64"/>
          <w:sz w:val="22"/>
          <w:szCs w:val="22"/>
          <w:lang w:val="tr-TR"/>
        </w:rPr>
        <w:t>EMES</w:t>
      </w:r>
    </w:p>
    <w:tbl>
      <w:tblPr>
        <w:tblStyle w:val="TableNormal"/>
        <w:bidiVisual w:val="0"/>
        <w:tblW w:w="0" w:type="auto"/>
        <w:tblLook w:val="04A0" w:firstRow="1" w:lastRow="0" w:firstColumn="1" w:lastColumn="0" w:noHBand="0" w:noVBand="1"/>
      </w:tblPr>
      <w:tblGrid>
        <w:gridCol w:w="9030"/>
      </w:tblGrid>
      <w:tr w:rsidR="58813B30" w:rsidTr="58813B30" w14:paraId="06FD5D09">
        <w:trPr>
          <w:trHeight w:val="300"/>
        </w:trPr>
        <w:tc>
          <w:tcPr>
            <w:tcW w:w="9030" w:type="dxa"/>
            <w:tcBorders>
              <w:top w:val="nil"/>
              <w:left w:val="single" w:color="2E4A3A" w:sz="24"/>
              <w:bottom w:val="nil"/>
              <w:right w:val="nil"/>
            </w:tcBorders>
            <w:shd w:val="clear" w:color="auto" w:fill="EAF1EC"/>
            <w:tcMar>
              <w:top w:w="160" w:type="dxa"/>
              <w:left w:w="220" w:type="dxa"/>
              <w:bottom w:w="160" w:type="dxa"/>
              <w:right w:w="220" w:type="dxa"/>
            </w:tcMar>
            <w:vAlign w:val="top"/>
          </w:tcPr>
          <w:p w:rsidR="58813B30" w:rsidP="58813B30" w:rsidRDefault="58813B30" w14:paraId="2E028D5B" w14:textId="3BB2C349">
            <w:pPr>
              <w:spacing w:before="0" w:beforeAutospacing="off" w:after="80" w:afterAutospacing="off"/>
            </w:pPr>
            <w:r w:rsidRPr="58813B30" w:rsidR="58813B30">
              <w:rPr>
                <w:rFonts w:ascii="Calibri" w:hAnsi="Calibri" w:eastAsia="Calibri" w:cs="Calibri"/>
                <w:b w:val="1"/>
                <w:bCs w:val="1"/>
                <w:color w:val="2E4A3A"/>
                <w:sz w:val="22"/>
                <w:szCs w:val="22"/>
              </w:rPr>
              <w:t xml:space="preserve">Core problem: </w:t>
            </w:r>
            <w:r w:rsidRPr="58813B30" w:rsidR="58813B30">
              <w:rPr>
                <w:rFonts w:ascii="Calibri" w:hAnsi="Calibri" w:eastAsia="Calibri" w:cs="Calibri"/>
                <w:color w:val="000000" w:themeColor="text1" w:themeTint="FF" w:themeShade="FF"/>
                <w:sz w:val="22"/>
                <w:szCs w:val="22"/>
              </w:rPr>
              <w:t>The company has no sustainability-focused system architecture.</w:t>
            </w:r>
          </w:p>
          <w:p w:rsidR="58813B30" w:rsidP="58813B30" w:rsidRDefault="58813B30" w14:paraId="442E0E58" w14:textId="6995A25E">
            <w:pPr>
              <w:spacing w:before="0" w:beforeAutospacing="off" w:after="0" w:afterAutospacing="off"/>
            </w:pPr>
            <w:r w:rsidRPr="58813B30" w:rsidR="58813B30">
              <w:rPr>
                <w:rFonts w:ascii="Calibri" w:hAnsi="Calibri" w:eastAsia="Calibri" w:cs="Calibri"/>
                <w:b w:val="1"/>
                <w:bCs w:val="1"/>
                <w:color w:val="2E4A3A"/>
                <w:sz w:val="22"/>
                <w:szCs w:val="22"/>
              </w:rPr>
              <w:t xml:space="preserve">Targets: </w:t>
            </w:r>
            <w:r w:rsidRPr="58813B30" w:rsidR="58813B30">
              <w:rPr>
                <w:rFonts w:ascii="Calibri" w:hAnsi="Calibri" w:eastAsia="Calibri" w:cs="Calibri"/>
                <w:color w:val="000000" w:themeColor="text1" w:themeTint="FF" w:themeShade="FF"/>
                <w:sz w:val="22"/>
                <w:szCs w:val="22"/>
              </w:rPr>
              <w:t>Higher productivity and higher employee satisfaction.</w:t>
            </w:r>
          </w:p>
        </w:tc>
      </w:tr>
    </w:tbl>
    <w:p xmlns:wp14="http://schemas.microsoft.com/office/word/2010/wordml" w:rsidP="58813B30" wp14:paraId="0A57CC44" wp14:textId="55C73D24">
      <w:pPr>
        <w:bidi w:val="0"/>
        <w:spacing w:before="0" w:beforeAutospacing="off" w:after="60" w:afterAutospacing="off"/>
      </w:pPr>
      <w:r w:rsidRPr="58813B30" w:rsidR="58813B30">
        <w:rPr>
          <w:rFonts w:ascii="Calibri" w:hAnsi="Calibri" w:eastAsia="Calibri" w:cs="Calibri"/>
          <w:noProof w:val="0"/>
          <w:sz w:val="22"/>
          <w:szCs w:val="22"/>
          <w:lang w:val="tr-TR"/>
        </w:rPr>
        <w:t xml:space="preserve"> </w:t>
      </w:r>
    </w:p>
    <w:p xmlns:wp14="http://schemas.microsoft.com/office/word/2010/wordml" w:rsidP="58813B30" wp14:paraId="6FA33962" wp14:textId="0913A920">
      <w:pPr>
        <w:bidi w:val="0"/>
        <w:spacing w:before="0" w:beforeAutospacing="off" w:after="120" w:afterAutospacing="off"/>
      </w:pPr>
      <w:r w:rsidRPr="58813B30" w:rsidR="58813B30">
        <w:rPr>
          <w:rFonts w:ascii="Calibri" w:hAnsi="Calibri" w:eastAsia="Calibri" w:cs="Calibri"/>
          <w:noProof w:val="0"/>
          <w:sz w:val="22"/>
          <w:szCs w:val="22"/>
          <w:lang w:val="tr-TR"/>
        </w:rPr>
        <w:t>This document develops the group's workshop output into concrete solution proposals. The root causes on the board's problem notes and ESG fishbone are grouped under five axes. For each axis, the group's own solutions, needs and expected effects are expanded into actions.</w:t>
      </w:r>
    </w:p>
    <w:p xmlns:wp14="http://schemas.microsoft.com/office/word/2010/wordml" w:rsidP="58813B30" wp14:paraId="0E31DC90" wp14:textId="45AA3323">
      <w:pPr>
        <w:bidi w:val="0"/>
        <w:spacing w:before="0" w:beforeAutospacing="off" w:after="120" w:afterAutospacing="off"/>
      </w:pPr>
      <w:r w:rsidRPr="58813B30" w:rsidR="58813B30">
        <w:rPr>
          <w:rFonts w:ascii="Calibri" w:hAnsi="Calibri" w:eastAsia="Calibri" w:cs="Calibri"/>
          <w:noProof w:val="0"/>
          <w:sz w:val="22"/>
          <w:szCs w:val="22"/>
          <w:lang w:val="tr-TR"/>
        </w:rPr>
        <w:t>The fishbone's “Other” branch was left empty, so the “Technological infrastructure” note is included under Axis 2 (Data and digital infrastructure).</w:t>
      </w:r>
    </w:p>
    <w:p xmlns:wp14="http://schemas.microsoft.com/office/word/2010/wordml" w:rsidP="58813B30" wp14:paraId="0BC38421" wp14:textId="37A914DF">
      <w:pPr>
        <w:pStyle w:val="Heading2"/>
        <w:bidi w:val="0"/>
        <w:spacing w:before="240" w:beforeAutospacing="off" w:after="120" w:afterAutospacing="off"/>
      </w:pPr>
      <w:r w:rsidRPr="58813B30" w:rsidR="58813B30">
        <w:rPr>
          <w:rFonts w:ascii="Calibri" w:hAnsi="Calibri" w:eastAsia="Calibri" w:cs="Calibri"/>
          <w:b w:val="1"/>
          <w:bCs w:val="1"/>
          <w:noProof w:val="0"/>
          <w:color w:val="2E4A3A"/>
          <w:sz w:val="25"/>
          <w:szCs w:val="25"/>
          <w:lang w:val="tr-TR"/>
        </w:rPr>
        <w:t>Solution axes at a glance</w:t>
      </w:r>
    </w:p>
    <w:tbl>
      <w:tblPr>
        <w:tblStyle w:val="TableNormal"/>
        <w:bidiVisual w:val="0"/>
        <w:tblW w:w="0" w:type="auto"/>
        <w:tblLook w:val="04A0" w:firstRow="1" w:lastRow="0" w:firstColumn="1" w:lastColumn="0" w:noHBand="0" w:noVBand="1"/>
      </w:tblPr>
      <w:tblGrid>
        <w:gridCol w:w="2505"/>
        <w:gridCol w:w="3270"/>
        <w:gridCol w:w="3270"/>
      </w:tblGrid>
      <w:tr w:rsidR="58813B30" w:rsidTr="58813B30" w14:paraId="4B65CC28">
        <w:trPr>
          <w:trHeight w:val="300"/>
        </w:trPr>
        <w:tc>
          <w:tcPr>
            <w:tcW w:w="2505" w:type="dxa"/>
            <w:tcBorders>
              <w:top w:val="single" w:color="C9D3CC" w:sz="8"/>
              <w:left w:val="single" w:color="C9D3CC" w:sz="8"/>
              <w:bottom w:val="single" w:color="C9D3CC" w:sz="8"/>
              <w:right w:val="single" w:color="C9D3CC" w:sz="8"/>
            </w:tcBorders>
            <w:shd w:val="clear" w:color="auto" w:fill="2E4A3A"/>
            <w:tcMar>
              <w:top w:w="90" w:type="dxa"/>
              <w:left w:w="120" w:type="dxa"/>
              <w:bottom w:w="90" w:type="dxa"/>
              <w:right w:w="120" w:type="dxa"/>
            </w:tcMar>
            <w:vAlign w:val="top"/>
          </w:tcPr>
          <w:p w:rsidR="58813B30" w:rsidP="58813B30" w:rsidRDefault="58813B30" w14:paraId="00DD34DB" w14:textId="659AC7DE">
            <w:pPr>
              <w:bidi w:val="0"/>
              <w:spacing w:before="0" w:beforeAutospacing="off" w:after="0" w:afterAutospacing="off"/>
            </w:pPr>
            <w:r w:rsidRPr="58813B30" w:rsidR="58813B30">
              <w:rPr>
                <w:rFonts w:ascii="Calibri" w:hAnsi="Calibri" w:eastAsia="Calibri" w:cs="Calibri"/>
                <w:b w:val="1"/>
                <w:bCs w:val="1"/>
                <w:color w:val="FFFFFF" w:themeColor="background1" w:themeTint="FF" w:themeShade="FF"/>
                <w:sz w:val="22"/>
                <w:szCs w:val="22"/>
              </w:rPr>
              <w:t>Axis</w:t>
            </w:r>
          </w:p>
        </w:tc>
        <w:tc>
          <w:tcPr>
            <w:tcW w:w="3270" w:type="dxa"/>
            <w:tcBorders>
              <w:top w:val="single" w:color="C9D3CC" w:sz="8"/>
              <w:left w:val="single" w:color="C9D3CC" w:sz="8"/>
              <w:bottom w:val="single" w:color="C9D3CC" w:sz="8"/>
              <w:right w:val="single" w:color="C9D3CC" w:sz="8"/>
            </w:tcBorders>
            <w:shd w:val="clear" w:color="auto" w:fill="2E4A3A"/>
            <w:tcMar>
              <w:top w:w="90" w:type="dxa"/>
              <w:left w:w="120" w:type="dxa"/>
              <w:bottom w:w="90" w:type="dxa"/>
              <w:right w:w="120" w:type="dxa"/>
            </w:tcMar>
            <w:vAlign w:val="top"/>
          </w:tcPr>
          <w:p w:rsidR="58813B30" w:rsidP="58813B30" w:rsidRDefault="58813B30" w14:paraId="139E2D33" w14:textId="2F841931">
            <w:pPr>
              <w:bidi w:val="0"/>
              <w:spacing w:before="0" w:beforeAutospacing="off" w:after="0" w:afterAutospacing="off"/>
            </w:pPr>
            <w:r w:rsidRPr="58813B30" w:rsidR="58813B30">
              <w:rPr>
                <w:rFonts w:ascii="Calibri" w:hAnsi="Calibri" w:eastAsia="Calibri" w:cs="Calibri"/>
                <w:b w:val="1"/>
                <w:bCs w:val="1"/>
                <w:color w:val="FFFFFF" w:themeColor="background1" w:themeTint="FF" w:themeShade="FF"/>
                <w:sz w:val="22"/>
                <w:szCs w:val="22"/>
              </w:rPr>
              <w:t>Main root causes</w:t>
            </w:r>
          </w:p>
        </w:tc>
        <w:tc>
          <w:tcPr>
            <w:tcW w:w="3270" w:type="dxa"/>
            <w:tcBorders>
              <w:top w:val="single" w:color="C9D3CC" w:sz="8"/>
              <w:left w:val="single" w:color="C9D3CC" w:sz="8"/>
              <w:bottom w:val="single" w:color="C9D3CC" w:sz="8"/>
              <w:right w:val="single" w:color="C9D3CC" w:sz="8"/>
            </w:tcBorders>
            <w:shd w:val="clear" w:color="auto" w:fill="2E4A3A"/>
            <w:tcMar>
              <w:top w:w="90" w:type="dxa"/>
              <w:left w:w="120" w:type="dxa"/>
              <w:bottom w:w="90" w:type="dxa"/>
              <w:right w:w="120" w:type="dxa"/>
            </w:tcMar>
            <w:vAlign w:val="top"/>
          </w:tcPr>
          <w:p w:rsidR="58813B30" w:rsidP="58813B30" w:rsidRDefault="58813B30" w14:paraId="19180D5B" w14:textId="4953F872">
            <w:pPr>
              <w:bidi w:val="0"/>
              <w:spacing w:before="0" w:beforeAutospacing="off" w:after="0" w:afterAutospacing="off"/>
            </w:pPr>
            <w:r w:rsidRPr="58813B30" w:rsidR="58813B30">
              <w:rPr>
                <w:rFonts w:ascii="Calibri" w:hAnsi="Calibri" w:eastAsia="Calibri" w:cs="Calibri"/>
                <w:b w:val="1"/>
                <w:bCs w:val="1"/>
                <w:color w:val="FFFFFF" w:themeColor="background1" w:themeTint="FF" w:themeShade="FF"/>
                <w:sz w:val="22"/>
                <w:szCs w:val="22"/>
              </w:rPr>
              <w:t>Board proposals it builds on</w:t>
            </w:r>
          </w:p>
        </w:tc>
      </w:tr>
      <w:tr w:rsidR="58813B30" w:rsidTr="58813B30" w14:paraId="04F23795">
        <w:trPr>
          <w:trHeight w:val="300"/>
        </w:trPr>
        <w:tc>
          <w:tcPr>
            <w:tcW w:w="250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798D2271" w14:textId="30CA96A2">
            <w:pPr>
              <w:bidi w:val="0"/>
              <w:spacing w:before="0" w:beforeAutospacing="off" w:after="0" w:afterAutospacing="off"/>
            </w:pPr>
            <w:r w:rsidRPr="58813B30" w:rsidR="58813B30">
              <w:rPr>
                <w:rFonts w:ascii="Calibri" w:hAnsi="Calibri" w:eastAsia="Calibri" w:cs="Calibri"/>
                <w:b w:val="1"/>
                <w:bCs w:val="1"/>
                <w:sz w:val="22"/>
                <w:szCs w:val="22"/>
              </w:rPr>
              <w:t>1. Governance</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20639F12" w14:textId="264E36F9">
            <w:pPr>
              <w:bidi w:val="0"/>
              <w:spacing w:before="0" w:beforeAutospacing="off" w:after="0" w:afterAutospacing="off"/>
            </w:pPr>
            <w:r w:rsidRPr="58813B30" w:rsidR="58813B30">
              <w:rPr>
                <w:rFonts w:ascii="Calibri" w:hAnsi="Calibri" w:eastAsia="Calibri" w:cs="Calibri"/>
                <w:sz w:val="22"/>
                <w:szCs w:val="22"/>
              </w:rPr>
              <w:t>Lack of ownership, priorities, targets and teamwork</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1A4810BF" w14:textId="22DBC6C7">
            <w:pPr>
              <w:bidi w:val="0"/>
              <w:spacing w:before="0" w:beforeAutospacing="off" w:after="0" w:afterAutospacing="off"/>
            </w:pPr>
            <w:r w:rsidRPr="58813B30" w:rsidR="58813B30">
              <w:rPr>
                <w:rFonts w:ascii="Calibri" w:hAnsi="Calibri" w:eastAsia="Calibri" w:cs="Calibri"/>
                <w:sz w:val="22"/>
                <w:szCs w:val="22"/>
              </w:rPr>
              <w:t>Define sustainability workflows; senior management involvement; defined targets</w:t>
            </w:r>
          </w:p>
        </w:tc>
      </w:tr>
      <w:tr w:rsidR="58813B30" w:rsidTr="58813B30" w14:paraId="0BBCE8DF">
        <w:trPr>
          <w:trHeight w:val="300"/>
        </w:trPr>
        <w:tc>
          <w:tcPr>
            <w:tcW w:w="250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610DF834" w14:textId="1902B3AF">
            <w:pPr>
              <w:bidi w:val="0"/>
              <w:spacing w:before="0" w:beforeAutospacing="off" w:after="0" w:afterAutospacing="off"/>
            </w:pPr>
            <w:r w:rsidRPr="58813B30" w:rsidR="58813B30">
              <w:rPr>
                <w:rFonts w:ascii="Calibri" w:hAnsi="Calibri" w:eastAsia="Calibri" w:cs="Calibri"/>
                <w:b w:val="1"/>
                <w:bCs w:val="1"/>
                <w:sz w:val="22"/>
                <w:szCs w:val="22"/>
              </w:rPr>
              <w:t>2. Data and digital infrastructure</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3C90652E" w14:textId="6F3F0E69">
            <w:pPr>
              <w:bidi w:val="0"/>
              <w:spacing w:before="0" w:beforeAutospacing="off" w:after="0" w:afterAutospacing="off"/>
            </w:pPr>
            <w:r w:rsidRPr="58813B30" w:rsidR="58813B30">
              <w:rPr>
                <w:rFonts w:ascii="Calibri" w:hAnsi="Calibri" w:eastAsia="Calibri" w:cs="Calibri"/>
                <w:sz w:val="22"/>
                <w:szCs w:val="22"/>
              </w:rPr>
              <w:t>Unreliable, scattered data; weak infrastructure</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2550EE5C" w14:textId="4EE9E611">
            <w:pPr>
              <w:bidi w:val="0"/>
              <w:spacing w:before="0" w:beforeAutospacing="off" w:after="0" w:afterAutospacing="off"/>
            </w:pPr>
            <w:r w:rsidRPr="58813B30" w:rsidR="58813B30">
              <w:rPr>
                <w:rFonts w:ascii="Calibri" w:hAnsi="Calibri" w:eastAsia="Calibri" w:cs="Calibri"/>
                <w:sz w:val="22"/>
                <w:szCs w:val="22"/>
              </w:rPr>
              <w:t>Move data to digital, track in real time; digital infrastructure and database</w:t>
            </w:r>
          </w:p>
        </w:tc>
      </w:tr>
      <w:tr w:rsidR="58813B30" w:rsidTr="58813B30" w14:paraId="5504B7F6">
        <w:trPr>
          <w:trHeight w:val="300"/>
        </w:trPr>
        <w:tc>
          <w:tcPr>
            <w:tcW w:w="250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07859528" w14:textId="0F2C5346">
            <w:pPr>
              <w:bidi w:val="0"/>
              <w:spacing w:before="0" w:beforeAutospacing="off" w:after="0" w:afterAutospacing="off"/>
            </w:pPr>
            <w:r w:rsidRPr="58813B30" w:rsidR="58813B30">
              <w:rPr>
                <w:rFonts w:ascii="Calibri" w:hAnsi="Calibri" w:eastAsia="Calibri" w:cs="Calibri"/>
                <w:b w:val="1"/>
                <w:bCs w:val="1"/>
                <w:sz w:val="22"/>
                <w:szCs w:val="22"/>
              </w:rPr>
              <w:t>3. Supply chain</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32EAA2BA" w14:textId="35E58FB9">
            <w:pPr>
              <w:bidi w:val="0"/>
              <w:spacing w:before="0" w:beforeAutospacing="off" w:after="0" w:afterAutospacing="off"/>
            </w:pPr>
            <w:r w:rsidRPr="58813B30" w:rsidR="58813B30">
              <w:rPr>
                <w:rFonts w:ascii="Calibri" w:hAnsi="Calibri" w:eastAsia="Calibri" w:cs="Calibri"/>
                <w:sz w:val="22"/>
                <w:szCs w:val="22"/>
              </w:rPr>
              <w:t>No supplier data, no alignment, no audits</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1D4278CF" w14:textId="6639BB5B">
            <w:pPr>
              <w:bidi w:val="0"/>
              <w:spacing w:before="0" w:beforeAutospacing="off" w:after="0" w:afterAutospacing="off"/>
            </w:pPr>
            <w:r w:rsidRPr="58813B30" w:rsidR="58813B30">
              <w:rPr>
                <w:rFonts w:ascii="Calibri" w:hAnsi="Calibri" w:eastAsia="Calibri" w:cs="Calibri"/>
                <w:sz w:val="22"/>
                <w:szCs w:val="22"/>
              </w:rPr>
              <w:t>People-focused audit mechanism</w:t>
            </w:r>
          </w:p>
        </w:tc>
      </w:tr>
      <w:tr w:rsidR="58813B30" w:rsidTr="58813B30" w14:paraId="19D0B43E">
        <w:trPr>
          <w:trHeight w:val="300"/>
        </w:trPr>
        <w:tc>
          <w:tcPr>
            <w:tcW w:w="250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134A497C" w14:textId="0117A760">
            <w:pPr>
              <w:bidi w:val="0"/>
              <w:spacing w:before="0" w:beforeAutospacing="off" w:after="0" w:afterAutospacing="off"/>
            </w:pPr>
            <w:r w:rsidRPr="58813B30" w:rsidR="58813B30">
              <w:rPr>
                <w:rFonts w:ascii="Calibri" w:hAnsi="Calibri" w:eastAsia="Calibri" w:cs="Calibri"/>
                <w:b w:val="1"/>
                <w:bCs w:val="1"/>
                <w:sz w:val="22"/>
                <w:szCs w:val="22"/>
              </w:rPr>
              <w:t>4. Social</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384E13EB" w14:textId="3F09E9C5">
            <w:pPr>
              <w:bidi w:val="0"/>
              <w:spacing w:before="0" w:beforeAutospacing="off" w:after="0" w:afterAutospacing="off"/>
            </w:pPr>
            <w:r w:rsidRPr="58813B30" w:rsidR="58813B30">
              <w:rPr>
                <w:rFonts w:ascii="Calibri" w:hAnsi="Calibri" w:eastAsia="Calibri" w:cs="Calibri"/>
                <w:sz w:val="22"/>
                <w:szCs w:val="22"/>
              </w:rPr>
              <w:t>Low awareness; operators not involved; few qualified staff</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7DC4424E" w14:textId="51365F78">
            <w:pPr>
              <w:bidi w:val="0"/>
              <w:spacing w:before="0" w:beforeAutospacing="off" w:after="0" w:afterAutospacing="off"/>
            </w:pPr>
            <w:r w:rsidRPr="58813B30" w:rsidR="58813B30">
              <w:rPr>
                <w:rFonts w:ascii="Calibri" w:hAnsi="Calibri" w:eastAsia="Calibri" w:cs="Calibri"/>
                <w:sz w:val="22"/>
                <w:szCs w:val="22"/>
              </w:rPr>
              <w:t>Qualified human resources; staff training</w:t>
            </w:r>
          </w:p>
        </w:tc>
      </w:tr>
      <w:tr w:rsidR="58813B30" w:rsidTr="58813B30" w14:paraId="381F246E">
        <w:trPr>
          <w:trHeight w:val="300"/>
        </w:trPr>
        <w:tc>
          <w:tcPr>
            <w:tcW w:w="250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51F5D571" w14:textId="556221CF">
            <w:pPr>
              <w:bidi w:val="0"/>
              <w:spacing w:before="0" w:beforeAutospacing="off" w:after="0" w:afterAutospacing="off"/>
            </w:pPr>
            <w:r w:rsidRPr="58813B30" w:rsidR="58813B30">
              <w:rPr>
                <w:rFonts w:ascii="Calibri" w:hAnsi="Calibri" w:eastAsia="Calibri" w:cs="Calibri"/>
                <w:b w:val="1"/>
                <w:bCs w:val="1"/>
                <w:sz w:val="22"/>
                <w:szCs w:val="22"/>
              </w:rPr>
              <w:t>5. Environmental and external ecosystem</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4288A999" w14:textId="5F95581D">
            <w:pPr>
              <w:bidi w:val="0"/>
              <w:spacing w:before="0" w:beforeAutospacing="off" w:after="0" w:afterAutospacing="off"/>
            </w:pPr>
            <w:r w:rsidRPr="58813B30" w:rsidR="58813B30">
              <w:rPr>
                <w:rFonts w:ascii="Calibri" w:hAnsi="Calibri" w:eastAsia="Calibri" w:cs="Calibri"/>
                <w:sz w:val="22"/>
                <w:szCs w:val="22"/>
              </w:rPr>
              <w:t>Regulation, financing, stakeholder cooperation, rising costs</w:t>
            </w:r>
          </w:p>
        </w:tc>
        <w:tc>
          <w:tcPr>
            <w:tcW w:w="327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6490699A" w14:textId="0D12EAF6">
            <w:pPr>
              <w:bidi w:val="0"/>
              <w:spacing w:before="0" w:beforeAutospacing="off" w:after="0" w:afterAutospacing="off"/>
            </w:pPr>
            <w:r w:rsidRPr="58813B30" w:rsidR="58813B30">
              <w:rPr>
                <w:rFonts w:ascii="Calibri" w:hAnsi="Calibri" w:eastAsia="Calibri" w:cs="Calibri"/>
                <w:sz w:val="22"/>
                <w:szCs w:val="22"/>
              </w:rPr>
              <w:t>Public policy incentives; financing</w:t>
            </w:r>
          </w:p>
        </w:tc>
      </w:tr>
    </w:tbl>
    <w:p xmlns:wp14="http://schemas.microsoft.com/office/word/2010/wordml" w:rsidP="58813B30" wp14:paraId="7795B92D" wp14:textId="2CF02A80">
      <w:pPr>
        <w:bidi w:val="0"/>
        <w:spacing w:before="0" w:beforeAutospacing="off" w:after="60" w:afterAutospacing="off"/>
      </w:pPr>
      <w:r w:rsidRPr="58813B30" w:rsidR="58813B30">
        <w:rPr>
          <w:rFonts w:ascii="Calibri" w:hAnsi="Calibri" w:eastAsia="Calibri" w:cs="Calibri"/>
          <w:noProof w:val="0"/>
          <w:sz w:val="22"/>
          <w:szCs w:val="22"/>
          <w:lang w:val="tr-TR"/>
        </w:rPr>
        <w:t xml:space="preserve"> </w:t>
      </w:r>
    </w:p>
    <w:p xmlns:wp14="http://schemas.microsoft.com/office/word/2010/wordml" w:rsidP="58813B30" wp14:paraId="7F0C7D9E" wp14:textId="08FF068A">
      <w:pPr>
        <w:pStyle w:val="Heading1"/>
        <w:bidi w:val="0"/>
        <w:spacing w:before="360" w:beforeAutospacing="off" w:after="140" w:afterAutospacing="off"/>
      </w:pPr>
      <w:r w:rsidRPr="58813B30" w:rsidR="58813B30">
        <w:rPr>
          <w:rFonts w:ascii="Calibri" w:hAnsi="Calibri" w:eastAsia="Calibri" w:cs="Calibri"/>
          <w:b w:val="1"/>
          <w:bCs w:val="1"/>
          <w:noProof w:val="0"/>
          <w:color w:val="2E4A3A"/>
          <w:sz w:val="30"/>
          <w:szCs w:val="30"/>
          <w:lang w:val="tr-TR"/>
        </w:rPr>
        <w:t>1. Governance: ownership and priorities</w:t>
      </w:r>
    </w:p>
    <w:p xmlns:wp14="http://schemas.microsoft.com/office/word/2010/wordml" w:rsidP="58813B30" wp14:paraId="290AE114" wp14:textId="3819EC42">
      <w:pPr>
        <w:bidi w:val="0"/>
        <w:spacing w:before="0" w:beforeAutospacing="off" w:after="100" w:afterAutospacing="off"/>
      </w:pPr>
      <w:r w:rsidRPr="58813B30" w:rsidR="58813B30">
        <w:rPr>
          <w:rFonts w:ascii="Calibri" w:hAnsi="Calibri" w:eastAsia="Calibri" w:cs="Calibri"/>
          <w:b w:val="1"/>
          <w:bCs w:val="1"/>
          <w:noProof w:val="0"/>
          <w:color w:val="2E4A3A"/>
          <w:sz w:val="22"/>
          <w:szCs w:val="22"/>
          <w:lang w:val="tr-TR"/>
        </w:rPr>
        <w:t xml:space="preserve">Root causes: </w:t>
      </w:r>
      <w:r w:rsidRPr="58813B30" w:rsidR="58813B30">
        <w:rPr>
          <w:rFonts w:ascii="Calibri" w:hAnsi="Calibri" w:eastAsia="Calibri" w:cs="Calibri"/>
          <w:noProof w:val="0"/>
          <w:sz w:val="22"/>
          <w:szCs w:val="22"/>
          <w:lang w:val="tr-TR"/>
        </w:rPr>
        <w:t>Senior management doesn't own the issue. There is no team. Priorities, targets and responsibilities are unclear. Teams don't work together. Decisions aren't made with sustainability in mind.</w:t>
      </w:r>
    </w:p>
    <w:p xmlns:wp14="http://schemas.microsoft.com/office/word/2010/wordml" w:rsidP="58813B30" wp14:paraId="64E32BBD" wp14:textId="21296FCA">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Sponsor and team:</w:t>
      </w:r>
      <w:r w:rsidRPr="58813B30" w:rsidR="58813B30">
        <w:rPr>
          <w:rFonts w:ascii="Calibri" w:hAnsi="Calibri" w:eastAsia="Calibri" w:cs="Calibri"/>
          <w:noProof w:val="0"/>
          <w:sz w:val="22"/>
          <w:szCs w:val="22"/>
          <w:lang w:val="tr-TR"/>
        </w:rPr>
        <w:t xml:space="preserve"> Name a sponsor from senior management. Set up a cross-functional sustainability team with production, quality, purchasing, HR, finance and IT.</w:t>
      </w:r>
    </w:p>
    <w:p xmlns:wp14="http://schemas.microsoft.com/office/word/2010/wordml" w:rsidP="58813B30" wp14:paraId="2814E538" wp14:textId="758DEB6B">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Defined workflows:</w:t>
      </w:r>
      <w:r w:rsidRPr="58813B30" w:rsidR="58813B30">
        <w:rPr>
          <w:rFonts w:ascii="Calibri" w:hAnsi="Calibri" w:eastAsia="Calibri" w:cs="Calibri"/>
          <w:noProof w:val="0"/>
          <w:sz w:val="22"/>
          <w:szCs w:val="22"/>
          <w:lang w:val="tr-TR"/>
        </w:rPr>
        <w:t xml:space="preserve"> This builds on the board's “define sustainability workflows” proposal. Use a RACI matrix to set out who is responsible for each process.</w:t>
      </w:r>
    </w:p>
    <w:p xmlns:wp14="http://schemas.microsoft.com/office/word/2010/wordml" w:rsidP="58813B30" wp14:paraId="28690525" wp14:textId="57D3AE73">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Priorities:</w:t>
      </w:r>
      <w:r w:rsidRPr="58813B30" w:rsidR="58813B30">
        <w:rPr>
          <w:rFonts w:ascii="Calibri" w:hAnsi="Calibri" w:eastAsia="Calibri" w:cs="Calibri"/>
          <w:noProof w:val="0"/>
          <w:sz w:val="22"/>
          <w:szCs w:val="22"/>
          <w:lang w:val="tr-TR"/>
        </w:rPr>
        <w:t xml:space="preserve"> Use a double materiality analysis to pick 5–7 priority topics. Give each one a measurable target and an owner.</w:t>
      </w:r>
    </w:p>
    <w:p xmlns:wp14="http://schemas.microsoft.com/office/word/2010/wordml" w:rsidP="58813B30" wp14:paraId="37C2F516" wp14:textId="015B2A7E">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Link to performance and investment:</w:t>
      </w:r>
      <w:r w:rsidRPr="58813B30" w:rsidR="58813B30">
        <w:rPr>
          <w:rFonts w:ascii="Calibri" w:hAnsi="Calibri" w:eastAsia="Calibri" w:cs="Calibri"/>
          <w:noProof w:val="0"/>
          <w:sz w:val="22"/>
          <w:szCs w:val="22"/>
          <w:lang w:val="tr-TR"/>
        </w:rPr>
        <w:t xml:space="preserve"> Add the KPIs to managers' performance scorecards. Add an “energy/emissions impact” field to every investment request.</w:t>
      </w:r>
    </w:p>
    <w:p xmlns:wp14="http://schemas.microsoft.com/office/word/2010/wordml" w:rsidP="58813B30" wp14:paraId="556F41C8" wp14:textId="6A56E341">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No extra bureaucracy:</w:t>
      </w:r>
      <w:r w:rsidRPr="58813B30" w:rsidR="58813B30">
        <w:rPr>
          <w:rFonts w:ascii="Calibri" w:hAnsi="Calibri" w:eastAsia="Calibri" w:cs="Calibri"/>
          <w:noProof w:val="0"/>
          <w:sz w:val="22"/>
          <w:szCs w:val="22"/>
          <w:lang w:val="tr-TR"/>
        </w:rPr>
        <w:t xml:space="preserve"> Add an ESG item to the existing monthly production meeting instead of creating a separate one.</w:t>
      </w:r>
    </w:p>
    <w:p xmlns:wp14="http://schemas.microsoft.com/office/word/2010/wordml" w:rsidP="58813B30" wp14:paraId="5DCFD1EC" wp14:textId="2EB27F06">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Cost:</w:t>
      </w:r>
      <w:r w:rsidRPr="58813B30" w:rsidR="58813B30">
        <w:rPr>
          <w:rFonts w:ascii="Calibri" w:hAnsi="Calibri" w:eastAsia="Calibri" w:cs="Calibri"/>
          <w:noProof w:val="0"/>
          <w:sz w:val="22"/>
          <w:szCs w:val="22"/>
          <w:lang w:val="tr-TR"/>
        </w:rPr>
        <w:t xml:space="preserve"> Start with quick-payback projects in energy, scrap and water. Their savings can fund the next investments.</w:t>
      </w:r>
    </w:p>
    <w:p xmlns:wp14="http://schemas.microsoft.com/office/word/2010/wordml" w:rsidP="58813B30" wp14:paraId="3B07414C" wp14:textId="4F79B143">
      <w:pPr>
        <w:pStyle w:val="Heading1"/>
        <w:bidi w:val="0"/>
        <w:spacing w:before="360" w:beforeAutospacing="off" w:after="140" w:afterAutospacing="off"/>
      </w:pPr>
      <w:r w:rsidRPr="58813B30" w:rsidR="58813B30">
        <w:rPr>
          <w:rFonts w:ascii="Calibri" w:hAnsi="Calibri" w:eastAsia="Calibri" w:cs="Calibri"/>
          <w:b w:val="1"/>
          <w:bCs w:val="1"/>
          <w:noProof w:val="0"/>
          <w:color w:val="2E4A3A"/>
          <w:sz w:val="30"/>
          <w:szCs w:val="30"/>
          <w:lang w:val="tr-TR"/>
        </w:rPr>
        <w:t>2. Data and digital infrastructure: a single source of truth</w:t>
      </w:r>
    </w:p>
    <w:p xmlns:wp14="http://schemas.microsoft.com/office/word/2010/wordml" w:rsidP="58813B30" wp14:paraId="1BAF1930" wp14:textId="6D964A46">
      <w:pPr>
        <w:bidi w:val="0"/>
        <w:spacing w:before="0" w:beforeAutospacing="off" w:after="100" w:afterAutospacing="off"/>
      </w:pPr>
      <w:r w:rsidRPr="58813B30" w:rsidR="58813B30">
        <w:rPr>
          <w:rFonts w:ascii="Calibri" w:hAnsi="Calibri" w:eastAsia="Calibri" w:cs="Calibri"/>
          <w:b w:val="1"/>
          <w:bCs w:val="1"/>
          <w:noProof w:val="0"/>
          <w:color w:val="2E4A3A"/>
          <w:sz w:val="22"/>
          <w:szCs w:val="22"/>
          <w:lang w:val="tr-TR"/>
        </w:rPr>
        <w:t xml:space="preserve">Root causes: </w:t>
      </w:r>
      <w:r w:rsidRPr="58813B30" w:rsidR="58813B30">
        <w:rPr>
          <w:rFonts w:ascii="Calibri" w:hAnsi="Calibri" w:eastAsia="Calibri" w:cs="Calibri"/>
          <w:noProof w:val="0"/>
          <w:sz w:val="22"/>
          <w:szCs w:val="22"/>
          <w:lang w:val="tr-TR"/>
        </w:rPr>
        <w:t>Reliable data is hard to get. Data is collected from scattered places. There is no data governance, reporting or analysis. Technological infrastructure is weak.</w:t>
      </w:r>
    </w:p>
    <w:p xmlns:wp14="http://schemas.microsoft.com/office/word/2010/wordml" w:rsidP="58813B30" wp14:paraId="60B9238A" wp14:textId="211DD94D">
      <w:pPr>
        <w:bidi w:val="0"/>
        <w:spacing w:before="0" w:beforeAutospacing="off" w:after="100" w:afterAutospacing="off"/>
      </w:pPr>
      <w:r w:rsidRPr="58813B30" w:rsidR="58813B30">
        <w:rPr>
          <w:rFonts w:ascii="Calibri" w:hAnsi="Calibri" w:eastAsia="Calibri" w:cs="Calibri"/>
          <w:b w:val="1"/>
          <w:bCs w:val="1"/>
          <w:noProof w:val="0"/>
          <w:color w:val="2E4A3A"/>
          <w:sz w:val="22"/>
          <w:szCs w:val="22"/>
          <w:lang w:val="tr-TR"/>
        </w:rPr>
        <w:t xml:space="preserve">Builds on: </w:t>
      </w:r>
      <w:r w:rsidRPr="58813B30" w:rsidR="58813B30">
        <w:rPr>
          <w:rFonts w:ascii="Calibri" w:hAnsi="Calibri" w:eastAsia="Calibri" w:cs="Calibri"/>
          <w:noProof w:val="0"/>
          <w:sz w:val="22"/>
          <w:szCs w:val="22"/>
          <w:lang w:val="tr-TR"/>
        </w:rPr>
        <w:t>The board's “move data to digital and track it in real time” proposal, and its “digital infrastructure – database” need.</w:t>
      </w:r>
    </w:p>
    <w:p xmlns:wp14="http://schemas.microsoft.com/office/word/2010/wordml" w:rsidP="58813B30" wp14:paraId="7537C770" wp14:textId="3BC395D4">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Indicator dictionary:</w:t>
      </w:r>
      <w:r w:rsidRPr="58813B30" w:rsidR="58813B30">
        <w:rPr>
          <w:rFonts w:ascii="Calibri" w:hAnsi="Calibri" w:eastAsia="Calibri" w:cs="Calibri"/>
          <w:noProof w:val="0"/>
          <w:sz w:val="22"/>
          <w:szCs w:val="22"/>
          <w:lang w:val="tr-TR"/>
        </w:rPr>
        <w:t xml:space="preserve"> For each indicator, record its definition, unit, source, data owner and update frequency.</w:t>
      </w:r>
    </w:p>
    <w:p xmlns:wp14="http://schemas.microsoft.com/office/word/2010/wordml" w:rsidP="58813B30" wp14:paraId="5F8FADF7" wp14:textId="526F418E">
      <w:pPr>
        <w:pStyle w:val="ListParagraph"/>
        <w:numPr>
          <w:ilvl w:val="0"/>
          <w:numId w:val="1"/>
        </w:numPr>
        <w:bidi w:val="0"/>
        <w:spacing w:before="0" w:beforeAutospacing="off" w:after="0" w:afterAutospacing="off"/>
        <w:ind w:left="540" w:right="0" w:hanging="270"/>
        <w:rPr>
          <w:rFonts w:ascii="Calibri" w:hAnsi="Calibri" w:eastAsia="Calibri" w:cs="Calibri"/>
          <w:b w:val="1"/>
          <w:bCs w:val="1"/>
          <w:noProof w:val="0"/>
          <w:sz w:val="22"/>
          <w:szCs w:val="22"/>
          <w:lang w:val="tr-TR"/>
        </w:rPr>
      </w:pPr>
      <w:r w:rsidRPr="58813B30" w:rsidR="58813B30">
        <w:rPr>
          <w:rFonts w:ascii="Calibri" w:hAnsi="Calibri" w:eastAsia="Calibri" w:cs="Calibri"/>
          <w:b w:val="1"/>
          <w:bCs w:val="1"/>
          <w:noProof w:val="0"/>
          <w:sz w:val="22"/>
          <w:szCs w:val="22"/>
          <w:lang w:val="tr-TR"/>
        </w:rPr>
        <w:t>Step-by-step digitalisation:</w:t>
      </w:r>
    </w:p>
    <w:p xmlns:wp14="http://schemas.microsoft.com/office/word/2010/wordml" w:rsidP="58813B30" wp14:paraId="21D76083" wp14:textId="3F44D20F">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First, the 10–15 critical indicators: energy, Scope 1–2 emissions, water, waste and scrap, workplace accidents, training hours.</w:t>
      </w:r>
    </w:p>
    <w:p xmlns:wp14="http://schemas.microsoft.com/office/word/2010/wordml" w:rsidP="58813B30" wp14:paraId="32E45149" wp14:textId="6ED8F71D">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Then widen the scope.</w:t>
      </w:r>
    </w:p>
    <w:p xmlns:wp14="http://schemas.microsoft.com/office/word/2010/wordml" w:rsidP="58813B30" wp14:paraId="567CC1A3" wp14:textId="4F9249B0">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Measurement:</w:t>
      </w:r>
      <w:r w:rsidRPr="58813B30" w:rsidR="58813B30">
        <w:rPr>
          <w:rFonts w:ascii="Calibri" w:hAnsi="Calibri" w:eastAsia="Calibri" w:cs="Calibri"/>
          <w:noProof w:val="0"/>
          <w:sz w:val="22"/>
          <w:szCs w:val="22"/>
          <w:lang w:val="tr-TR"/>
        </w:rPr>
        <w:t xml:space="preserve"> Smart meters or IoT sensors to measure energy and water per line or machine.</w:t>
      </w:r>
    </w:p>
    <w:p xmlns:wp14="http://schemas.microsoft.com/office/word/2010/wordml" w:rsidP="58813B30" wp14:paraId="2AC12C2A" wp14:textId="460BE7F1">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Automatic data flow:</w:t>
      </w:r>
      <w:r w:rsidRPr="58813B30" w:rsidR="58813B30">
        <w:rPr>
          <w:rFonts w:ascii="Calibri" w:hAnsi="Calibri" w:eastAsia="Calibri" w:cs="Calibri"/>
          <w:noProof w:val="0"/>
          <w:sz w:val="22"/>
          <w:szCs w:val="22"/>
          <w:lang w:val="tr-TR"/>
        </w:rPr>
        <w:t xml:space="preserve"> Pull data automatically from MES/ERP into a central ESG database, so the scattered Excel files are no longer needed.</w:t>
      </w:r>
    </w:p>
    <w:p xmlns:wp14="http://schemas.microsoft.com/office/word/2010/wordml" w:rsidP="58813B30" wp14:paraId="77156179" wp14:textId="7415119E">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Real-time dashboard:</w:t>
      </w:r>
      <w:r w:rsidRPr="58813B30" w:rsidR="58813B30">
        <w:rPr>
          <w:rFonts w:ascii="Calibri" w:hAnsi="Calibri" w:eastAsia="Calibri" w:cs="Calibri"/>
          <w:noProof w:val="0"/>
          <w:sz w:val="22"/>
          <w:szCs w:val="22"/>
          <w:lang w:val="tr-TR"/>
        </w:rPr>
        <w:t xml:space="preserve"> Show per-unit indicators such as kWh/ton and kg CO₂e/ton.</w:t>
      </w:r>
    </w:p>
    <w:p xmlns:wp14="http://schemas.microsoft.com/office/word/2010/wordml" w:rsidP="58813B30" wp14:paraId="04AB6C02" wp14:textId="7B55CC2C">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Audit trail:</w:t>
      </w:r>
      <w:r w:rsidRPr="58813B30" w:rsidR="58813B30">
        <w:rPr>
          <w:rFonts w:ascii="Calibri" w:hAnsi="Calibri" w:eastAsia="Calibri" w:cs="Calibri"/>
          <w:noProof w:val="0"/>
          <w:sz w:val="22"/>
          <w:szCs w:val="22"/>
          <w:lang w:val="tr-TR"/>
        </w:rPr>
        <w:t xml:space="preserve"> Keep a record of where each figure came from, so the data is ready for CBAM and TSRS reporting and external assurance.</w:t>
      </w:r>
    </w:p>
    <w:p xmlns:wp14="http://schemas.microsoft.com/office/word/2010/wordml" w:rsidP="58813B30" wp14:paraId="484AE999" wp14:textId="01F8CACB">
      <w:pPr>
        <w:pStyle w:val="Heading1"/>
        <w:bidi w:val="0"/>
        <w:spacing w:before="360" w:beforeAutospacing="off" w:after="140" w:afterAutospacing="off"/>
      </w:pPr>
      <w:r w:rsidRPr="58813B30" w:rsidR="58813B30">
        <w:rPr>
          <w:rFonts w:ascii="Calibri" w:hAnsi="Calibri" w:eastAsia="Calibri" w:cs="Calibri"/>
          <w:b w:val="1"/>
          <w:bCs w:val="1"/>
          <w:noProof w:val="0"/>
          <w:color w:val="2E4A3A"/>
          <w:sz w:val="30"/>
          <w:szCs w:val="30"/>
          <w:lang w:val="tr-TR"/>
        </w:rPr>
        <w:t>3. Supply chain: data that suppliers share with confidence</w:t>
      </w:r>
    </w:p>
    <w:p xmlns:wp14="http://schemas.microsoft.com/office/word/2010/wordml" w:rsidP="58813B30" wp14:paraId="777B6E31" wp14:textId="41087E39">
      <w:pPr>
        <w:bidi w:val="0"/>
        <w:spacing w:before="0" w:beforeAutospacing="off" w:after="100" w:afterAutospacing="off"/>
      </w:pPr>
      <w:r w:rsidRPr="58813B30" w:rsidR="58813B30">
        <w:rPr>
          <w:rFonts w:ascii="Calibri" w:hAnsi="Calibri" w:eastAsia="Calibri" w:cs="Calibri"/>
          <w:b w:val="1"/>
          <w:bCs w:val="1"/>
          <w:noProof w:val="0"/>
          <w:color w:val="2E4A3A"/>
          <w:sz w:val="22"/>
          <w:szCs w:val="22"/>
          <w:lang w:val="tr-TR"/>
        </w:rPr>
        <w:t xml:space="preserve">Root causes: </w:t>
      </w:r>
      <w:r w:rsidRPr="58813B30" w:rsidR="58813B30">
        <w:rPr>
          <w:rFonts w:ascii="Calibri" w:hAnsi="Calibri" w:eastAsia="Calibri" w:cs="Calibri"/>
          <w:noProof w:val="0"/>
          <w:sz w:val="22"/>
          <w:szCs w:val="22"/>
          <w:lang w:val="tr-TR"/>
        </w:rPr>
        <w:t>Data can't be collected from suppliers. Suppliers worry about sharing data, or can't be reached at all. Their processes aren't aligned. There is no audit mechanism.</w:t>
      </w:r>
    </w:p>
    <w:p xmlns:wp14="http://schemas.microsoft.com/office/word/2010/wordml" w:rsidP="58813B30" wp14:paraId="2589E192" wp14:textId="79F4FA39">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Segmentation:</w:t>
      </w:r>
      <w:r w:rsidRPr="58813B30" w:rsidR="58813B30">
        <w:rPr>
          <w:rFonts w:ascii="Calibri" w:hAnsi="Calibri" w:eastAsia="Calibri" w:cs="Calibri"/>
          <w:noProof w:val="0"/>
          <w:sz w:val="22"/>
          <w:szCs w:val="22"/>
          <w:lang w:val="tr-TR"/>
        </w:rPr>
        <w:t xml:space="preserve"> Rank suppliers by spend and emissions intensity, and start with the critical 20%.</w:t>
      </w:r>
    </w:p>
    <w:p xmlns:wp14="http://schemas.microsoft.com/office/word/2010/wordml" w:rsidP="58813B30" wp14:paraId="0998DD5C" wp14:textId="141BABDC">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Standard requests:</w:t>
      </w:r>
      <w:r w:rsidRPr="58813B30" w:rsidR="58813B30">
        <w:rPr>
          <w:rFonts w:ascii="Calibri" w:hAnsi="Calibri" w:eastAsia="Calibri" w:cs="Calibri"/>
          <w:noProof w:val="0"/>
          <w:sz w:val="22"/>
          <w:szCs w:val="22"/>
          <w:lang w:val="tr-TR"/>
        </w:rPr>
        <w:t xml:space="preserve"> Use a short, standard data request template and a supplier portal.</w:t>
      </w:r>
    </w:p>
    <w:p xmlns:wp14="http://schemas.microsoft.com/office/word/2010/wordml" w:rsidP="58813B30" wp14:paraId="23BC86E7" wp14:textId="28DE77DC">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Contracts:</w:t>
      </w:r>
      <w:r w:rsidRPr="58813B30" w:rsidR="58813B30">
        <w:rPr>
          <w:rFonts w:ascii="Calibri" w:hAnsi="Calibri" w:eastAsia="Calibri" w:cs="Calibri"/>
          <w:noProof w:val="0"/>
          <w:sz w:val="22"/>
          <w:szCs w:val="22"/>
          <w:lang w:val="tr-TR"/>
        </w:rPr>
        <w:t xml:space="preserve"> Add sustainability clauses and a supplier code of conduct.</w:t>
      </w:r>
    </w:p>
    <w:p xmlns:wp14="http://schemas.microsoft.com/office/word/2010/wordml" w:rsidP="58813B30" wp14:paraId="6CDFD6F8" wp14:textId="0485E46A">
      <w:pPr>
        <w:pStyle w:val="ListParagraph"/>
        <w:numPr>
          <w:ilvl w:val="0"/>
          <w:numId w:val="1"/>
        </w:numPr>
        <w:bidi w:val="0"/>
        <w:spacing w:before="0" w:beforeAutospacing="off" w:after="0" w:afterAutospacing="off"/>
        <w:ind w:left="540" w:right="0" w:hanging="270"/>
        <w:rPr>
          <w:rFonts w:ascii="Calibri" w:hAnsi="Calibri" w:eastAsia="Calibri" w:cs="Calibri"/>
          <w:b w:val="1"/>
          <w:bCs w:val="1"/>
          <w:noProof w:val="0"/>
          <w:sz w:val="22"/>
          <w:szCs w:val="22"/>
          <w:lang w:val="tr-TR"/>
        </w:rPr>
      </w:pPr>
      <w:r w:rsidRPr="58813B30" w:rsidR="58813B30">
        <w:rPr>
          <w:rFonts w:ascii="Calibri" w:hAnsi="Calibri" w:eastAsia="Calibri" w:cs="Calibri"/>
          <w:b w:val="1"/>
          <w:bCs w:val="1"/>
          <w:noProof w:val="0"/>
          <w:sz w:val="22"/>
          <w:szCs w:val="22"/>
          <w:lang w:val="tr-TR"/>
        </w:rPr>
        <w:t>Easing data-sharing concerns:</w:t>
      </w:r>
    </w:p>
    <w:p xmlns:wp14="http://schemas.microsoft.com/office/word/2010/wordml" w:rsidP="58813B30" wp14:paraId="1FE04639" wp14:textId="1F9A195B">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Sign confidentiality agreements.</w:t>
      </w:r>
    </w:p>
    <w:p xmlns:wp14="http://schemas.microsoft.com/office/word/2010/wordml" w:rsidP="58813B30" wp14:paraId="47BC2551" wp14:textId="0789926D">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Commit to using the data only in aggregate.</w:t>
      </w:r>
    </w:p>
    <w:p xmlns:wp14="http://schemas.microsoft.com/office/word/2010/wordml" w:rsidP="58813B30" wp14:paraId="0F83DC37" wp14:textId="6C12D5F9">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Explain clearly why the data is needed.</w:t>
      </w:r>
    </w:p>
    <w:p xmlns:wp14="http://schemas.microsoft.com/office/word/2010/wordml" w:rsidP="58813B30" wp14:paraId="2BF10392" wp14:textId="3C08EC1F">
      <w:pPr>
        <w:pStyle w:val="ListParagraph"/>
        <w:numPr>
          <w:ilvl w:val="0"/>
          <w:numId w:val="1"/>
        </w:numPr>
        <w:bidi w:val="0"/>
        <w:spacing w:before="0" w:beforeAutospacing="off" w:after="0" w:afterAutospacing="off"/>
        <w:ind w:left="540" w:right="0" w:hanging="270"/>
        <w:rPr>
          <w:rFonts w:ascii="Calibri" w:hAnsi="Calibri" w:eastAsia="Calibri" w:cs="Calibri"/>
          <w:b w:val="1"/>
          <w:bCs w:val="1"/>
          <w:noProof w:val="0"/>
          <w:sz w:val="22"/>
          <w:szCs w:val="22"/>
          <w:lang w:val="tr-TR"/>
        </w:rPr>
      </w:pPr>
      <w:r w:rsidRPr="58813B30" w:rsidR="58813B30">
        <w:rPr>
          <w:rFonts w:ascii="Calibri" w:hAnsi="Calibri" w:eastAsia="Calibri" w:cs="Calibri"/>
          <w:b w:val="1"/>
          <w:bCs w:val="1"/>
          <w:noProof w:val="0"/>
          <w:sz w:val="22"/>
          <w:szCs w:val="22"/>
          <w:lang w:val="tr-TR"/>
        </w:rPr>
        <w:t>Supplier development program:</w:t>
      </w:r>
    </w:p>
    <w:p xmlns:wp14="http://schemas.microsoft.com/office/word/2010/wordml" w:rsidP="58813B30" wp14:paraId="3C614664" wp14:textId="5C0FF054">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Offer training and shared tools, especially for SME suppliers.</w:t>
      </w:r>
    </w:p>
    <w:p xmlns:wp14="http://schemas.microsoft.com/office/word/2010/wordml" w:rsidP="58813B30" wp14:paraId="2A89A145" wp14:textId="5BE56E3D">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Reward suppliers who share data with preferred-supplier status.</w:t>
      </w:r>
    </w:p>
    <w:p xmlns:wp14="http://schemas.microsoft.com/office/word/2010/wordml" w:rsidP="58813B30" wp14:paraId="0E92C2FA" wp14:textId="17471DF6">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People-focused audits (one of the board's needs):</w:t>
      </w:r>
      <w:r w:rsidRPr="58813B30" w:rsidR="58813B30">
        <w:rPr>
          <w:rFonts w:ascii="Calibri" w:hAnsi="Calibri" w:eastAsia="Calibri" w:cs="Calibri"/>
          <w:noProof w:val="0"/>
          <w:sz w:val="22"/>
          <w:szCs w:val="22"/>
          <w:lang w:val="tr-TR"/>
        </w:rPr>
        <w:t xml:space="preserve"> Use a risk-based approach:</w:t>
      </w:r>
    </w:p>
    <w:p xmlns:wp14="http://schemas.microsoft.com/office/word/2010/wordml" w:rsidP="58813B30" wp14:paraId="62C80F3B" wp14:textId="15BE6B57">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Start with a self-assessment.</w:t>
      </w:r>
    </w:p>
    <w:p xmlns:wp14="http://schemas.microsoft.com/office/word/2010/wordml" w:rsidP="58813B30" wp14:paraId="7DC32FD8" wp14:textId="6CD43DA3">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Visit the site only when the risk is high.</w:t>
      </w:r>
    </w:p>
    <w:p xmlns:wp14="http://schemas.microsoft.com/office/word/2010/wordml" w:rsidP="58813B30" wp14:paraId="2649EC59" wp14:textId="49BCDC1B">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noProof w:val="0"/>
          <w:sz w:val="22"/>
          <w:szCs w:val="22"/>
          <w:lang w:val="tr-TR"/>
        </w:rPr>
        <w:t>Respond with a corrective action plan and coaching rather than penalties.</w:t>
      </w:r>
    </w:p>
    <w:p xmlns:wp14="http://schemas.microsoft.com/office/word/2010/wordml" w:rsidP="58813B30" wp14:paraId="15FEA19F" wp14:textId="298588D4">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Critical for the metal sector:</w:t>
      </w:r>
      <w:r w:rsidRPr="58813B30" w:rsidR="58813B30">
        <w:rPr>
          <w:rFonts w:ascii="Calibri" w:hAnsi="Calibri" w:eastAsia="Calibri" w:cs="Calibri"/>
          <w:noProof w:val="0"/>
          <w:sz w:val="22"/>
          <w:szCs w:val="22"/>
          <w:lang w:val="tr-TR"/>
        </w:rPr>
        <w:t xml:space="preserve"> Systematically request embedded-emissions data for products covered by CBAM.</w:t>
      </w:r>
    </w:p>
    <w:p xmlns:wp14="http://schemas.microsoft.com/office/word/2010/wordml" w:rsidP="58813B30" wp14:paraId="6C85BE23" wp14:textId="33B233A9">
      <w:pPr>
        <w:pStyle w:val="Heading1"/>
        <w:bidi w:val="0"/>
        <w:spacing w:before="360" w:beforeAutospacing="off" w:after="140" w:afterAutospacing="off"/>
      </w:pPr>
      <w:r w:rsidRPr="58813B30" w:rsidR="58813B30">
        <w:rPr>
          <w:rFonts w:ascii="Calibri" w:hAnsi="Calibri" w:eastAsia="Calibri" w:cs="Calibri"/>
          <w:b w:val="1"/>
          <w:bCs w:val="1"/>
          <w:noProof w:val="0"/>
          <w:color w:val="2E4A3A"/>
          <w:sz w:val="30"/>
          <w:szCs w:val="30"/>
          <w:lang w:val="tr-TR"/>
        </w:rPr>
        <w:t>4. Social: awareness and participation</w:t>
      </w:r>
    </w:p>
    <w:p xmlns:wp14="http://schemas.microsoft.com/office/word/2010/wordml" w:rsidP="58813B30" wp14:paraId="3A8FF5AE" wp14:textId="5E726243">
      <w:pPr>
        <w:bidi w:val="0"/>
        <w:spacing w:before="0" w:beforeAutospacing="off" w:after="100" w:afterAutospacing="off"/>
      </w:pPr>
      <w:r w:rsidRPr="58813B30" w:rsidR="58813B30">
        <w:rPr>
          <w:rFonts w:ascii="Calibri" w:hAnsi="Calibri" w:eastAsia="Calibri" w:cs="Calibri"/>
          <w:b w:val="1"/>
          <w:bCs w:val="1"/>
          <w:noProof w:val="0"/>
          <w:color w:val="2E4A3A"/>
          <w:sz w:val="22"/>
          <w:szCs w:val="22"/>
          <w:lang w:val="tr-TR"/>
        </w:rPr>
        <w:t xml:space="preserve">Root causes: </w:t>
      </w:r>
      <w:r w:rsidRPr="58813B30" w:rsidR="58813B30">
        <w:rPr>
          <w:rFonts w:ascii="Calibri" w:hAnsi="Calibri" w:eastAsia="Calibri" w:cs="Calibri"/>
          <w:noProof w:val="0"/>
          <w:sz w:val="22"/>
          <w:szCs w:val="22"/>
          <w:lang w:val="tr-TR"/>
        </w:rPr>
        <w:t>Knowledge and awareness are low. Operators aren't asked for their ideas in productivity work. Qualified staff are lacking.</w:t>
      </w:r>
    </w:p>
    <w:p xmlns:wp14="http://schemas.microsoft.com/office/word/2010/wordml" w:rsidP="58813B30" wp14:paraId="3EA539E7" wp14:textId="0E4E12FD">
      <w:pPr>
        <w:bidi w:val="0"/>
        <w:spacing w:before="0" w:beforeAutospacing="off" w:after="100" w:afterAutospacing="off"/>
      </w:pPr>
      <w:r w:rsidRPr="58813B30" w:rsidR="58813B30">
        <w:rPr>
          <w:rFonts w:ascii="Calibri" w:hAnsi="Calibri" w:eastAsia="Calibri" w:cs="Calibri"/>
          <w:b w:val="1"/>
          <w:bCs w:val="1"/>
          <w:noProof w:val="0"/>
          <w:color w:val="2E4A3A"/>
          <w:sz w:val="22"/>
          <w:szCs w:val="22"/>
          <w:lang w:val="tr-TR"/>
        </w:rPr>
        <w:t xml:space="preserve">Builds on: </w:t>
      </w:r>
      <w:r w:rsidRPr="58813B30" w:rsidR="58813B30">
        <w:rPr>
          <w:rFonts w:ascii="Calibri" w:hAnsi="Calibri" w:eastAsia="Calibri" w:cs="Calibri"/>
          <w:noProof w:val="0"/>
          <w:sz w:val="22"/>
          <w:szCs w:val="22"/>
          <w:lang w:val="tr-TR"/>
        </w:rPr>
        <w:t>The board's “qualified human resources” proposal and its “staff training” need.</w:t>
      </w:r>
    </w:p>
    <w:p xmlns:wp14="http://schemas.microsoft.com/office/word/2010/wordml" w:rsidP="58813B30" wp14:paraId="290455A7" wp14:textId="1342E54E">
      <w:pPr>
        <w:pStyle w:val="ListParagraph"/>
        <w:numPr>
          <w:ilvl w:val="0"/>
          <w:numId w:val="1"/>
        </w:numPr>
        <w:bidi w:val="0"/>
        <w:spacing w:before="0" w:beforeAutospacing="off" w:after="0" w:afterAutospacing="off"/>
        <w:ind w:left="540" w:right="0" w:hanging="270"/>
        <w:rPr>
          <w:rFonts w:ascii="Calibri" w:hAnsi="Calibri" w:eastAsia="Calibri" w:cs="Calibri"/>
          <w:b w:val="1"/>
          <w:bCs w:val="1"/>
          <w:noProof w:val="0"/>
          <w:sz w:val="22"/>
          <w:szCs w:val="22"/>
          <w:lang w:val="tr-TR"/>
        </w:rPr>
      </w:pPr>
      <w:r w:rsidRPr="58813B30" w:rsidR="58813B30">
        <w:rPr>
          <w:rFonts w:ascii="Calibri" w:hAnsi="Calibri" w:eastAsia="Calibri" w:cs="Calibri"/>
          <w:b w:val="1"/>
          <w:bCs w:val="1"/>
          <w:noProof w:val="0"/>
          <w:sz w:val="22"/>
          <w:szCs w:val="22"/>
          <w:lang w:val="tr-TR"/>
        </w:rPr>
        <w:t>Role-based training:</w:t>
      </w:r>
    </w:p>
    <w:p xmlns:wp14="http://schemas.microsoft.com/office/word/2010/wordml" w:rsidP="58813B30" wp14:paraId="75CCD487" wp14:textId="579AE0AF">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Managers:</w:t>
      </w:r>
      <w:r w:rsidRPr="58813B30" w:rsidR="58813B30">
        <w:rPr>
          <w:rFonts w:ascii="Calibri" w:hAnsi="Calibri" w:eastAsia="Calibri" w:cs="Calibri"/>
          <w:noProof w:val="0"/>
          <w:sz w:val="22"/>
          <w:szCs w:val="22"/>
          <w:lang w:val="tr-TR"/>
        </w:rPr>
        <w:t xml:space="preserve"> strategy and regulation.</w:t>
      </w:r>
    </w:p>
    <w:p xmlns:wp14="http://schemas.microsoft.com/office/word/2010/wordml" w:rsidP="58813B30" wp14:paraId="0CD7401C" wp14:textId="0BF5267F">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Engineers and specialists:</w:t>
      </w:r>
      <w:r w:rsidRPr="58813B30" w:rsidR="58813B30">
        <w:rPr>
          <w:rFonts w:ascii="Calibri" w:hAnsi="Calibri" w:eastAsia="Calibri" w:cs="Calibri"/>
          <w:noProof w:val="0"/>
          <w:sz w:val="22"/>
          <w:szCs w:val="22"/>
          <w:lang w:val="tr-TR"/>
        </w:rPr>
        <w:t xml:space="preserve"> carbon footprint, life-cycle assessment and data.</w:t>
      </w:r>
    </w:p>
    <w:p xmlns:wp14="http://schemas.microsoft.com/office/word/2010/wordml" w:rsidP="58813B30" wp14:paraId="065272EC" wp14:textId="27755CC3">
      <w:pPr>
        <w:pStyle w:val="ListParagraph"/>
        <w:numPr>
          <w:ilvl w:val="1"/>
          <w:numId w:val="1"/>
        </w:numPr>
        <w:bidi w:val="0"/>
        <w:spacing w:before="0" w:beforeAutospacing="off" w:after="0" w:afterAutospacing="off"/>
        <w:ind w:left="108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Operators:</w:t>
      </w:r>
      <w:r w:rsidRPr="58813B30" w:rsidR="58813B30">
        <w:rPr>
          <w:rFonts w:ascii="Calibri" w:hAnsi="Calibri" w:eastAsia="Calibri" w:cs="Calibri"/>
          <w:noProof w:val="0"/>
          <w:sz w:val="22"/>
          <w:szCs w:val="22"/>
          <w:lang w:val="tr-TR"/>
        </w:rPr>
        <w:t xml:space="preserve"> waste, energy and safety on the shop floor.</w:t>
      </w:r>
    </w:p>
    <w:p xmlns:wp14="http://schemas.microsoft.com/office/word/2010/wordml" w:rsidP="58813B30" wp14:paraId="234989A9" wp14:textId="7BB51973">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Make operators part of the design:</w:t>
      </w:r>
      <w:r w:rsidRPr="58813B30" w:rsidR="58813B30">
        <w:rPr>
          <w:rFonts w:ascii="Calibri" w:hAnsi="Calibri" w:eastAsia="Calibri" w:cs="Calibri"/>
          <w:noProof w:val="0"/>
          <w:sz w:val="22"/>
          <w:szCs w:val="22"/>
          <w:lang w:val="tr-TR"/>
        </w:rPr>
        <w:t xml:space="preserve"> Run a “green kaizen” suggestion system with line-level energy and scrap targets. Give recognition and rewards when a suggestion is implemented. This feeds the employee-satisfaction target directly.</w:t>
      </w:r>
    </w:p>
    <w:p xmlns:wp14="http://schemas.microsoft.com/office/word/2010/wordml" w:rsidP="58813B30" wp14:paraId="5A0F6A51" wp14:textId="09C9FC3E">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Sustainability ambassadors:</w:t>
      </w:r>
      <w:r w:rsidRPr="58813B30" w:rsidR="58813B30">
        <w:rPr>
          <w:rFonts w:ascii="Calibri" w:hAnsi="Calibri" w:eastAsia="Calibri" w:cs="Calibri"/>
          <w:noProof w:val="0"/>
          <w:sz w:val="22"/>
          <w:szCs w:val="22"/>
          <w:lang w:val="tr-TR"/>
        </w:rPr>
        <w:t xml:space="preserve"> Build a network with one ambassador from each department.</w:t>
      </w:r>
    </w:p>
    <w:p xmlns:wp14="http://schemas.microsoft.com/office/word/2010/wordml" w:rsidP="58813B30" wp14:paraId="5D107635" wp14:textId="3340408A">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Qualified staff:</w:t>
      </w:r>
      <w:r w:rsidRPr="58813B30" w:rsidR="58813B30">
        <w:rPr>
          <w:rFonts w:ascii="Calibri" w:hAnsi="Calibri" w:eastAsia="Calibri" w:cs="Calibri"/>
          <w:noProof w:val="0"/>
          <w:sz w:val="22"/>
          <w:szCs w:val="22"/>
          <w:lang w:val="tr-TR"/>
        </w:rPr>
        <w:t xml:space="preserve"> Add sustainability skills to hiring and career plans. Set up university partnerships and internships.</w:t>
      </w:r>
    </w:p>
    <w:p xmlns:wp14="http://schemas.microsoft.com/office/word/2010/wordml" w:rsidP="58813B30" wp14:paraId="05139ACF" wp14:textId="674AB787">
      <w:pPr>
        <w:pStyle w:val="Heading1"/>
        <w:bidi w:val="0"/>
        <w:spacing w:before="360" w:beforeAutospacing="off" w:after="140" w:afterAutospacing="off"/>
      </w:pPr>
      <w:r w:rsidRPr="58813B30" w:rsidR="58813B30">
        <w:rPr>
          <w:rFonts w:ascii="Calibri" w:hAnsi="Calibri" w:eastAsia="Calibri" w:cs="Calibri"/>
          <w:b w:val="1"/>
          <w:bCs w:val="1"/>
          <w:noProof w:val="0"/>
          <w:color w:val="2E4A3A"/>
          <w:sz w:val="30"/>
          <w:szCs w:val="30"/>
          <w:lang w:val="tr-TR"/>
        </w:rPr>
        <w:t>5. Environmental and external ecosystem: regulation, financing, stakeholders</w:t>
      </w:r>
    </w:p>
    <w:p xmlns:wp14="http://schemas.microsoft.com/office/word/2010/wordml" w:rsidP="58813B30" wp14:paraId="59D9AFBD" wp14:textId="319ACF5C">
      <w:pPr>
        <w:bidi w:val="0"/>
        <w:spacing w:before="0" w:beforeAutospacing="off" w:after="100" w:afterAutospacing="off"/>
      </w:pPr>
      <w:r w:rsidRPr="58813B30" w:rsidR="58813B30">
        <w:rPr>
          <w:rFonts w:ascii="Calibri" w:hAnsi="Calibri" w:eastAsia="Calibri" w:cs="Calibri"/>
          <w:b w:val="1"/>
          <w:bCs w:val="1"/>
          <w:noProof w:val="0"/>
          <w:color w:val="2E4A3A"/>
          <w:sz w:val="22"/>
          <w:szCs w:val="22"/>
          <w:lang w:val="tr-TR"/>
        </w:rPr>
        <w:t xml:space="preserve">Root causes: </w:t>
      </w:r>
      <w:r w:rsidRPr="58813B30" w:rsidR="58813B30">
        <w:rPr>
          <w:rFonts w:ascii="Calibri" w:hAnsi="Calibri" w:eastAsia="Calibri" w:cs="Calibri"/>
          <w:noProof w:val="0"/>
          <w:sz w:val="22"/>
          <w:szCs w:val="22"/>
          <w:lang w:val="tr-TR"/>
        </w:rPr>
        <w:t>Stakeholder cooperation, regulation and financing are gaps. Infrastructure is lacking and costs are rising.</w:t>
      </w:r>
    </w:p>
    <w:p xmlns:wp14="http://schemas.microsoft.com/office/word/2010/wordml" w:rsidP="58813B30" wp14:paraId="1E21A93F" wp14:textId="46AE6904">
      <w:pPr>
        <w:bidi w:val="0"/>
        <w:spacing w:before="0" w:beforeAutospacing="off" w:after="100" w:afterAutospacing="off"/>
      </w:pPr>
      <w:r w:rsidRPr="58813B30" w:rsidR="58813B30">
        <w:rPr>
          <w:rFonts w:ascii="Calibri" w:hAnsi="Calibri" w:eastAsia="Calibri" w:cs="Calibri"/>
          <w:b w:val="1"/>
          <w:bCs w:val="1"/>
          <w:noProof w:val="0"/>
          <w:color w:val="2E4A3A"/>
          <w:sz w:val="22"/>
          <w:szCs w:val="22"/>
          <w:lang w:val="tr-TR"/>
        </w:rPr>
        <w:t xml:space="preserve">Builds on: </w:t>
      </w:r>
      <w:r w:rsidRPr="58813B30" w:rsidR="58813B30">
        <w:rPr>
          <w:rFonts w:ascii="Calibri" w:hAnsi="Calibri" w:eastAsia="Calibri" w:cs="Calibri"/>
          <w:noProof w:val="0"/>
          <w:sz w:val="22"/>
          <w:szCs w:val="22"/>
          <w:lang w:val="tr-TR"/>
        </w:rPr>
        <w:t>The board's “public policy incentives” proposal and its “financing” need.</w:t>
      </w:r>
    </w:p>
    <w:p xmlns:wp14="http://schemas.microsoft.com/office/word/2010/wordml" w:rsidP="58813B30" wp14:paraId="46AA62F0" wp14:textId="517B57DC">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Regulation radar:</w:t>
      </w:r>
      <w:r w:rsidRPr="58813B30" w:rsidR="58813B30">
        <w:rPr>
          <w:rFonts w:ascii="Calibri" w:hAnsi="Calibri" w:eastAsia="Calibri" w:cs="Calibri"/>
          <w:noProof w:val="0"/>
          <w:sz w:val="22"/>
          <w:szCs w:val="22"/>
          <w:lang w:val="tr-TR"/>
        </w:rPr>
        <w:t xml:space="preserve"> Track CBAM, TSRS, the Climate Law and the emissions trading system to be set up under it, and EU customers' supply-chain requirements. Give this to one owner and run an impact review every quarter.</w:t>
      </w:r>
    </w:p>
    <w:p xmlns:wp14="http://schemas.microsoft.com/office/word/2010/wordml" w:rsidP="58813B30" wp14:paraId="16AE01D9" wp14:textId="2162D58C">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Funding map:</w:t>
      </w:r>
      <w:r w:rsidRPr="58813B30" w:rsidR="58813B30">
        <w:rPr>
          <w:rFonts w:ascii="Calibri" w:hAnsi="Calibri" w:eastAsia="Calibri" w:cs="Calibri"/>
          <w:noProof w:val="0"/>
          <w:sz w:val="22"/>
          <w:szCs w:val="22"/>
          <w:lang w:val="tr-TR"/>
        </w:rPr>
        <w:t xml:space="preserve"> EU programmes (Horizon Europe, LIFE, IPA), TÜBİTAK, KOSGEB, regional development agencies, and green or sustainability-linked loans.</w:t>
      </w:r>
    </w:p>
    <w:p xmlns:wp14="http://schemas.microsoft.com/office/word/2010/wordml" w:rsidP="58813B30" wp14:paraId="4D0DCE1E" wp14:textId="0B4A1080">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Shared work across the sector:</w:t>
      </w:r>
      <w:r w:rsidRPr="58813B30" w:rsidR="58813B30">
        <w:rPr>
          <w:rFonts w:ascii="Calibri" w:hAnsi="Calibri" w:eastAsia="Calibri" w:cs="Calibri"/>
          <w:noProof w:val="0"/>
          <w:sz w:val="22"/>
          <w:szCs w:val="22"/>
          <w:lang w:val="tr-TR"/>
        </w:rPr>
        <w:t xml:space="preserve"> Work with MESS, organised industrial zones and universities on a shared data standard, joint supplier training and joint project applications. This splits the cost.</w:t>
      </w:r>
    </w:p>
    <w:p xmlns:wp14="http://schemas.microsoft.com/office/word/2010/wordml" w:rsidP="58813B30" wp14:paraId="07D9F1B0" wp14:textId="1E70BA90">
      <w:pPr>
        <w:pStyle w:val="ListParagraph"/>
        <w:numPr>
          <w:ilvl w:val="0"/>
          <w:numId w:val="1"/>
        </w:numPr>
        <w:bidi w:val="0"/>
        <w:spacing w:before="0" w:beforeAutospacing="off" w:after="0" w:afterAutospacing="off"/>
        <w:ind w:left="540" w:right="0" w:hanging="270"/>
        <w:rPr>
          <w:rFonts w:ascii="Calibri" w:hAnsi="Calibri" w:eastAsia="Calibri" w:cs="Calibri"/>
          <w:noProof w:val="0"/>
          <w:sz w:val="22"/>
          <w:szCs w:val="22"/>
          <w:lang w:val="tr-TR"/>
        </w:rPr>
      </w:pPr>
      <w:r w:rsidRPr="58813B30" w:rsidR="58813B30">
        <w:rPr>
          <w:rFonts w:ascii="Calibri" w:hAnsi="Calibri" w:eastAsia="Calibri" w:cs="Calibri"/>
          <w:b w:val="1"/>
          <w:bCs w:val="1"/>
          <w:noProof w:val="0"/>
          <w:sz w:val="22"/>
          <w:szCs w:val="22"/>
          <w:lang w:val="tr-TR"/>
        </w:rPr>
        <w:t>Policy advocacy:</w:t>
      </w:r>
      <w:r w:rsidRPr="58813B30" w:rsidR="58813B30">
        <w:rPr>
          <w:rFonts w:ascii="Calibri" w:hAnsi="Calibri" w:eastAsia="Calibri" w:cs="Calibri"/>
          <w:noProof w:val="0"/>
          <w:sz w:val="22"/>
          <w:szCs w:val="22"/>
          <w:lang w:val="tr-TR"/>
        </w:rPr>
        <w:t xml:space="preserve"> As a sector, ask for incentives for SME digitalisation and measurement infrastructure.</w:t>
      </w:r>
    </w:p>
    <w:p xmlns:wp14="http://schemas.microsoft.com/office/word/2010/wordml" w:rsidP="58813B30" wp14:paraId="57FBE1C0" wp14:textId="275EAED5">
      <w:pPr>
        <w:pStyle w:val="Heading1"/>
        <w:bidi w:val="0"/>
        <w:spacing w:before="360" w:beforeAutospacing="off" w:after="140" w:afterAutospacing="off"/>
      </w:pPr>
      <w:r w:rsidRPr="58813B30" w:rsidR="58813B30">
        <w:rPr>
          <w:rFonts w:ascii="Calibri" w:hAnsi="Calibri" w:eastAsia="Calibri" w:cs="Calibri"/>
          <w:b w:val="1"/>
          <w:bCs w:val="1"/>
          <w:noProof w:val="0"/>
          <w:color w:val="2E4A3A"/>
          <w:sz w:val="30"/>
          <w:szCs w:val="30"/>
          <w:lang w:val="tr-TR"/>
        </w:rPr>
        <w:t>Roadmap</w:t>
      </w:r>
    </w:p>
    <w:tbl>
      <w:tblPr>
        <w:tblStyle w:val="TableNormal"/>
        <w:bidiVisual w:val="0"/>
        <w:tblW w:w="0" w:type="auto"/>
        <w:tblLook w:val="04A0" w:firstRow="1" w:lastRow="0" w:firstColumn="1" w:lastColumn="0" w:noHBand="0" w:noVBand="1"/>
      </w:tblPr>
      <w:tblGrid>
        <w:gridCol w:w="1995"/>
        <w:gridCol w:w="7020"/>
      </w:tblGrid>
      <w:tr w:rsidR="58813B30" w:rsidTr="58813B30" w14:paraId="2E1CDEA9">
        <w:trPr>
          <w:trHeight w:val="300"/>
        </w:trPr>
        <w:tc>
          <w:tcPr>
            <w:tcW w:w="1995" w:type="dxa"/>
            <w:tcBorders>
              <w:top w:val="single" w:color="C9D3CC" w:sz="8"/>
              <w:left w:val="single" w:color="C9D3CC" w:sz="8"/>
              <w:bottom w:val="single" w:color="C9D3CC" w:sz="8"/>
              <w:right w:val="single" w:color="C9D3CC" w:sz="8"/>
            </w:tcBorders>
            <w:shd w:val="clear" w:color="auto" w:fill="2E4A3A"/>
            <w:tcMar>
              <w:top w:w="90" w:type="dxa"/>
              <w:left w:w="120" w:type="dxa"/>
              <w:bottom w:w="90" w:type="dxa"/>
              <w:right w:w="120" w:type="dxa"/>
            </w:tcMar>
            <w:vAlign w:val="top"/>
          </w:tcPr>
          <w:p w:rsidR="58813B30" w:rsidP="58813B30" w:rsidRDefault="58813B30" w14:paraId="56C93163" w14:textId="5DE1FA8D">
            <w:pPr>
              <w:bidi w:val="0"/>
              <w:spacing w:before="0" w:beforeAutospacing="off" w:after="0" w:afterAutospacing="off"/>
            </w:pPr>
            <w:r w:rsidRPr="58813B30" w:rsidR="58813B30">
              <w:rPr>
                <w:rFonts w:ascii="Calibri" w:hAnsi="Calibri" w:eastAsia="Calibri" w:cs="Calibri"/>
                <w:b w:val="1"/>
                <w:bCs w:val="1"/>
                <w:color w:val="FFFFFF" w:themeColor="background1" w:themeTint="FF" w:themeShade="FF"/>
                <w:sz w:val="22"/>
                <w:szCs w:val="22"/>
              </w:rPr>
              <w:t>Period</w:t>
            </w:r>
          </w:p>
        </w:tc>
        <w:tc>
          <w:tcPr>
            <w:tcW w:w="7020" w:type="dxa"/>
            <w:tcBorders>
              <w:top w:val="single" w:color="C9D3CC" w:sz="8"/>
              <w:left w:val="single" w:color="C9D3CC" w:sz="8"/>
              <w:bottom w:val="single" w:color="C9D3CC" w:sz="8"/>
              <w:right w:val="single" w:color="C9D3CC" w:sz="8"/>
            </w:tcBorders>
            <w:shd w:val="clear" w:color="auto" w:fill="2E4A3A"/>
            <w:tcMar>
              <w:top w:w="90" w:type="dxa"/>
              <w:left w:w="120" w:type="dxa"/>
              <w:bottom w:w="90" w:type="dxa"/>
              <w:right w:w="120" w:type="dxa"/>
            </w:tcMar>
            <w:vAlign w:val="top"/>
          </w:tcPr>
          <w:p w:rsidR="58813B30" w:rsidP="58813B30" w:rsidRDefault="58813B30" w14:paraId="05A19AF3" w14:textId="392EF4CE">
            <w:pPr>
              <w:bidi w:val="0"/>
              <w:spacing w:before="0" w:beforeAutospacing="off" w:after="0" w:afterAutospacing="off"/>
            </w:pPr>
            <w:r w:rsidRPr="58813B30" w:rsidR="58813B30">
              <w:rPr>
                <w:rFonts w:ascii="Calibri" w:hAnsi="Calibri" w:eastAsia="Calibri" w:cs="Calibri"/>
                <w:b w:val="1"/>
                <w:bCs w:val="1"/>
                <w:color w:val="FFFFFF" w:themeColor="background1" w:themeTint="FF" w:themeShade="FF"/>
                <w:sz w:val="22"/>
                <w:szCs w:val="22"/>
              </w:rPr>
              <w:t>Focus</w:t>
            </w:r>
          </w:p>
        </w:tc>
      </w:tr>
      <w:tr w:rsidR="58813B30" w:rsidTr="58813B30" w14:paraId="2080AEDF">
        <w:trPr>
          <w:trHeight w:val="300"/>
        </w:trPr>
        <w:tc>
          <w:tcPr>
            <w:tcW w:w="19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7ABC4A7C" w14:textId="2F21E667">
            <w:pPr>
              <w:bidi w:val="0"/>
              <w:spacing w:before="0" w:beforeAutospacing="off" w:after="0" w:afterAutospacing="off"/>
            </w:pPr>
            <w:r w:rsidRPr="58813B30" w:rsidR="58813B30">
              <w:rPr>
                <w:rFonts w:ascii="Calibri" w:hAnsi="Calibri" w:eastAsia="Calibri" w:cs="Calibri"/>
                <w:b w:val="1"/>
                <w:bCs w:val="1"/>
                <w:sz w:val="22"/>
                <w:szCs w:val="22"/>
              </w:rPr>
              <w:t>0–6 months</w:t>
            </w:r>
          </w:p>
        </w:tc>
        <w:tc>
          <w:tcPr>
            <w:tcW w:w="70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63D2B357" w14:textId="5E9C3913">
            <w:pPr>
              <w:bidi w:val="0"/>
              <w:spacing w:before="0" w:beforeAutospacing="off" w:after="0" w:afterAutospacing="off"/>
            </w:pPr>
            <w:r w:rsidRPr="58813B30" w:rsidR="58813B30">
              <w:rPr>
                <w:rFonts w:ascii="Calibri" w:hAnsi="Calibri" w:eastAsia="Calibri" w:cs="Calibri"/>
                <w:sz w:val="22"/>
                <w:szCs w:val="22"/>
              </w:rPr>
              <w:t>Sponsor and team, materiality analysis, indicator dictionary, critical supplier list, awareness training, quick-win projects</w:t>
            </w:r>
          </w:p>
        </w:tc>
      </w:tr>
      <w:tr w:rsidR="58813B30" w:rsidTr="58813B30" w14:paraId="1CD2D589">
        <w:trPr>
          <w:trHeight w:val="300"/>
        </w:trPr>
        <w:tc>
          <w:tcPr>
            <w:tcW w:w="19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1757E125" w14:textId="5818976D">
            <w:pPr>
              <w:bidi w:val="0"/>
              <w:spacing w:before="0" w:beforeAutospacing="off" w:after="0" w:afterAutospacing="off"/>
            </w:pPr>
            <w:r w:rsidRPr="58813B30" w:rsidR="58813B30">
              <w:rPr>
                <w:rFonts w:ascii="Calibri" w:hAnsi="Calibri" w:eastAsia="Calibri" w:cs="Calibri"/>
                <w:b w:val="1"/>
                <w:bCs w:val="1"/>
                <w:sz w:val="22"/>
                <w:szCs w:val="22"/>
              </w:rPr>
              <w:t>6–18 months</w:t>
            </w:r>
          </w:p>
        </w:tc>
        <w:tc>
          <w:tcPr>
            <w:tcW w:w="70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5F535D8A" w14:textId="78967217">
            <w:pPr>
              <w:bidi w:val="0"/>
              <w:spacing w:before="0" w:beforeAutospacing="off" w:after="0" w:afterAutospacing="off"/>
            </w:pPr>
            <w:r w:rsidRPr="58813B30" w:rsidR="58813B30">
              <w:rPr>
                <w:rFonts w:ascii="Calibri" w:hAnsi="Calibri" w:eastAsia="Calibri" w:cs="Calibri"/>
                <w:sz w:val="22"/>
                <w:szCs w:val="22"/>
              </w:rPr>
              <w:t>Measurement infrastructure and ESG database, dashboard, supplier portal and contract clauses, operator suggestion system, funding applications</w:t>
            </w:r>
          </w:p>
        </w:tc>
      </w:tr>
      <w:tr w:rsidR="58813B30" w:rsidTr="58813B30" w14:paraId="4CF25A8E">
        <w:trPr>
          <w:trHeight w:val="300"/>
        </w:trPr>
        <w:tc>
          <w:tcPr>
            <w:tcW w:w="19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51473850" w14:textId="54230B15">
            <w:pPr>
              <w:bidi w:val="0"/>
              <w:spacing w:before="0" w:beforeAutospacing="off" w:after="0" w:afterAutospacing="off"/>
            </w:pPr>
            <w:r w:rsidRPr="58813B30" w:rsidR="58813B30">
              <w:rPr>
                <w:rFonts w:ascii="Calibri" w:hAnsi="Calibri" w:eastAsia="Calibri" w:cs="Calibri"/>
                <w:b w:val="1"/>
                <w:bCs w:val="1"/>
                <w:sz w:val="22"/>
                <w:szCs w:val="22"/>
              </w:rPr>
              <w:t>18–36 months</w:t>
            </w:r>
          </w:p>
        </w:tc>
        <w:tc>
          <w:tcPr>
            <w:tcW w:w="70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52505A0E" w14:textId="60F096E1">
            <w:pPr>
              <w:bidi w:val="0"/>
              <w:spacing w:before="0" w:beforeAutospacing="off" w:after="0" w:afterAutospacing="off"/>
            </w:pPr>
            <w:r w:rsidRPr="58813B30" w:rsidR="58813B30">
              <w:rPr>
                <w:rFonts w:ascii="Calibri" w:hAnsi="Calibri" w:eastAsia="Calibri" w:cs="Calibri"/>
                <w:sz w:val="22"/>
                <w:szCs w:val="22"/>
              </w:rPr>
              <w:t>Automatic MES/ERP data flow, external assurance, forecasting analysis, wider rollout of the supplier program, full compliance with international standards</w:t>
            </w:r>
          </w:p>
        </w:tc>
      </w:tr>
    </w:tbl>
    <w:p xmlns:wp14="http://schemas.microsoft.com/office/word/2010/wordml" w:rsidP="58813B30" wp14:paraId="5D92F135" wp14:textId="459E3EEB">
      <w:pPr>
        <w:bidi w:val="0"/>
        <w:spacing w:before="0" w:beforeAutospacing="off" w:after="60" w:afterAutospacing="off"/>
      </w:pPr>
      <w:r w:rsidRPr="58813B30" w:rsidR="58813B30">
        <w:rPr>
          <w:rFonts w:ascii="Calibri" w:hAnsi="Calibri" w:eastAsia="Calibri" w:cs="Calibri"/>
          <w:noProof w:val="0"/>
          <w:sz w:val="22"/>
          <w:szCs w:val="22"/>
          <w:lang w:val="tr-TR"/>
        </w:rPr>
        <w:t xml:space="preserve"> </w:t>
      </w:r>
    </w:p>
    <w:p xmlns:wp14="http://schemas.microsoft.com/office/word/2010/wordml" w:rsidP="58813B30" wp14:paraId="15DAACC5" wp14:textId="3F5D0809">
      <w:pPr>
        <w:pStyle w:val="Heading1"/>
        <w:bidi w:val="0"/>
        <w:spacing w:before="360" w:beforeAutospacing="off" w:after="140" w:afterAutospacing="off"/>
      </w:pPr>
      <w:r w:rsidRPr="58813B30" w:rsidR="58813B30">
        <w:rPr>
          <w:rFonts w:ascii="Calibri" w:hAnsi="Calibri" w:eastAsia="Calibri" w:cs="Calibri"/>
          <w:b w:val="1"/>
          <w:bCs w:val="1"/>
          <w:noProof w:val="0"/>
          <w:color w:val="2E4A3A"/>
          <w:sz w:val="30"/>
          <w:szCs w:val="30"/>
          <w:lang w:val="tr-TR"/>
        </w:rPr>
        <w:t>Expected effects and how to measure them</w:t>
      </w:r>
    </w:p>
    <w:tbl>
      <w:tblPr>
        <w:tblStyle w:val="TableNormal"/>
        <w:bidiVisual w:val="0"/>
        <w:tblW w:w="0" w:type="auto"/>
        <w:tblLook w:val="04A0" w:firstRow="1" w:lastRow="0" w:firstColumn="1" w:lastColumn="0" w:noHBand="0" w:noVBand="1"/>
      </w:tblPr>
      <w:tblGrid>
        <w:gridCol w:w="3795"/>
        <w:gridCol w:w="5220"/>
      </w:tblGrid>
      <w:tr w:rsidR="58813B30" w:rsidTr="58813B30" w14:paraId="6F80C419">
        <w:trPr>
          <w:trHeight w:val="300"/>
        </w:trPr>
        <w:tc>
          <w:tcPr>
            <w:tcW w:w="3795" w:type="dxa"/>
            <w:tcBorders>
              <w:top w:val="single" w:color="C9D3CC" w:sz="8"/>
              <w:left w:val="single" w:color="C9D3CC" w:sz="8"/>
              <w:bottom w:val="single" w:color="C9D3CC" w:sz="8"/>
              <w:right w:val="single" w:color="C9D3CC" w:sz="8"/>
            </w:tcBorders>
            <w:shd w:val="clear" w:color="auto" w:fill="2E4A3A"/>
            <w:tcMar>
              <w:top w:w="90" w:type="dxa"/>
              <w:left w:w="120" w:type="dxa"/>
              <w:bottom w:w="90" w:type="dxa"/>
              <w:right w:w="120" w:type="dxa"/>
            </w:tcMar>
            <w:vAlign w:val="top"/>
          </w:tcPr>
          <w:p w:rsidR="58813B30" w:rsidP="58813B30" w:rsidRDefault="58813B30" w14:paraId="09435CD7" w14:textId="5E0ED2F4">
            <w:pPr>
              <w:bidi w:val="0"/>
              <w:spacing w:before="0" w:beforeAutospacing="off" w:after="0" w:afterAutospacing="off"/>
            </w:pPr>
            <w:r w:rsidRPr="58813B30" w:rsidR="58813B30">
              <w:rPr>
                <w:rFonts w:ascii="Calibri" w:hAnsi="Calibri" w:eastAsia="Calibri" w:cs="Calibri"/>
                <w:b w:val="1"/>
                <w:bCs w:val="1"/>
                <w:color w:val="FFFFFF" w:themeColor="background1" w:themeTint="FF" w:themeShade="FF"/>
                <w:sz w:val="22"/>
                <w:szCs w:val="22"/>
              </w:rPr>
              <w:t>Effect (from the board)</w:t>
            </w:r>
          </w:p>
        </w:tc>
        <w:tc>
          <w:tcPr>
            <w:tcW w:w="5220" w:type="dxa"/>
            <w:tcBorders>
              <w:top w:val="single" w:color="C9D3CC" w:sz="8"/>
              <w:left w:val="single" w:color="C9D3CC" w:sz="8"/>
              <w:bottom w:val="single" w:color="C9D3CC" w:sz="8"/>
              <w:right w:val="single" w:color="C9D3CC" w:sz="8"/>
            </w:tcBorders>
            <w:shd w:val="clear" w:color="auto" w:fill="2E4A3A"/>
            <w:tcMar>
              <w:top w:w="90" w:type="dxa"/>
              <w:left w:w="120" w:type="dxa"/>
              <w:bottom w:w="90" w:type="dxa"/>
              <w:right w:w="120" w:type="dxa"/>
            </w:tcMar>
            <w:vAlign w:val="top"/>
          </w:tcPr>
          <w:p w:rsidR="58813B30" w:rsidP="58813B30" w:rsidRDefault="58813B30" w14:paraId="16DBC4B4" w14:textId="3D4D876D">
            <w:pPr>
              <w:bidi w:val="0"/>
              <w:spacing w:before="0" w:beforeAutospacing="off" w:after="0" w:afterAutospacing="off"/>
            </w:pPr>
            <w:r w:rsidRPr="58813B30" w:rsidR="58813B30">
              <w:rPr>
                <w:rFonts w:ascii="Calibri" w:hAnsi="Calibri" w:eastAsia="Calibri" w:cs="Calibri"/>
                <w:b w:val="1"/>
                <w:bCs w:val="1"/>
                <w:color w:val="FFFFFF" w:themeColor="background1" w:themeTint="FF" w:themeShade="FF"/>
                <w:sz w:val="22"/>
                <w:szCs w:val="22"/>
              </w:rPr>
              <w:t>Indicator</w:t>
            </w:r>
          </w:p>
        </w:tc>
      </w:tr>
      <w:tr w:rsidR="58813B30" w:rsidTr="58813B30" w14:paraId="2AE3CBC3">
        <w:trPr>
          <w:trHeight w:val="300"/>
        </w:trPr>
        <w:tc>
          <w:tcPr>
            <w:tcW w:w="37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56E078C0" w14:textId="10B1EC45">
            <w:pPr>
              <w:bidi w:val="0"/>
              <w:spacing w:before="0" w:beforeAutospacing="off" w:after="0" w:afterAutospacing="off"/>
            </w:pPr>
            <w:r w:rsidRPr="58813B30" w:rsidR="58813B30">
              <w:rPr>
                <w:rFonts w:ascii="Calibri" w:hAnsi="Calibri" w:eastAsia="Calibri" w:cs="Calibri"/>
                <w:sz w:val="22"/>
                <w:szCs w:val="22"/>
              </w:rPr>
              <w:t>Fast access to accurate data</w:t>
            </w:r>
          </w:p>
        </w:tc>
        <w:tc>
          <w:tcPr>
            <w:tcW w:w="52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2694B64D" w14:textId="7E31F70D">
            <w:pPr>
              <w:bidi w:val="0"/>
              <w:spacing w:before="0" w:beforeAutospacing="off" w:after="0" w:afterAutospacing="off"/>
            </w:pPr>
            <w:r w:rsidRPr="58813B30" w:rsidR="58813B30">
              <w:rPr>
                <w:rFonts w:ascii="Calibri" w:hAnsi="Calibri" w:eastAsia="Calibri" w:cs="Calibri"/>
                <w:sz w:val="22"/>
                <w:szCs w:val="22"/>
              </w:rPr>
              <w:t>Share of data collected automatically (%), time to prepare a report</w:t>
            </w:r>
          </w:p>
        </w:tc>
      </w:tr>
      <w:tr w:rsidR="58813B30" w:rsidTr="58813B30" w14:paraId="4843EAC4">
        <w:trPr>
          <w:trHeight w:val="300"/>
        </w:trPr>
        <w:tc>
          <w:tcPr>
            <w:tcW w:w="37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61BB6745" w14:textId="2E7673C4">
            <w:pPr>
              <w:bidi w:val="0"/>
              <w:spacing w:before="0" w:beforeAutospacing="off" w:after="0" w:afterAutospacing="off"/>
            </w:pPr>
            <w:r w:rsidRPr="58813B30" w:rsidR="58813B30">
              <w:rPr>
                <w:rFonts w:ascii="Calibri" w:hAnsi="Calibri" w:eastAsia="Calibri" w:cs="Calibri"/>
                <w:sz w:val="22"/>
                <w:szCs w:val="22"/>
              </w:rPr>
              <w:t>Current-state and forecasting analysis</w:t>
            </w:r>
          </w:p>
        </w:tc>
        <w:tc>
          <w:tcPr>
            <w:tcW w:w="52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50B2C340" w14:textId="27C6ECB2">
            <w:pPr>
              <w:bidi w:val="0"/>
              <w:spacing w:before="0" w:beforeAutospacing="off" w:after="0" w:afterAutospacing="off"/>
            </w:pPr>
            <w:r w:rsidRPr="58813B30" w:rsidR="58813B30">
              <w:rPr>
                <w:rFonts w:ascii="Calibri" w:hAnsi="Calibri" w:eastAsia="Calibri" w:cs="Calibri"/>
                <w:sz w:val="22"/>
                <w:szCs w:val="22"/>
              </w:rPr>
              <w:t>Emissions inventory, per-unit energy and emissions trend</w:t>
            </w:r>
          </w:p>
        </w:tc>
      </w:tr>
      <w:tr w:rsidR="58813B30" w:rsidTr="58813B30" w14:paraId="3CB958B6">
        <w:trPr>
          <w:trHeight w:val="300"/>
        </w:trPr>
        <w:tc>
          <w:tcPr>
            <w:tcW w:w="37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2030C6D1" w14:textId="21663C0F">
            <w:pPr>
              <w:bidi w:val="0"/>
              <w:spacing w:before="0" w:beforeAutospacing="off" w:after="0" w:afterAutospacing="off"/>
            </w:pPr>
            <w:r w:rsidRPr="58813B30" w:rsidR="58813B30">
              <w:rPr>
                <w:rFonts w:ascii="Calibri" w:hAnsi="Calibri" w:eastAsia="Calibri" w:cs="Calibri"/>
                <w:sz w:val="22"/>
                <w:szCs w:val="22"/>
              </w:rPr>
              <w:t>More qualified staff</w:t>
            </w:r>
          </w:p>
        </w:tc>
        <w:tc>
          <w:tcPr>
            <w:tcW w:w="52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3A1CFBC5" w14:textId="3921822E">
            <w:pPr>
              <w:bidi w:val="0"/>
              <w:spacing w:before="0" w:beforeAutospacing="off" w:after="0" w:afterAutospacing="off"/>
            </w:pPr>
            <w:r w:rsidRPr="58813B30" w:rsidR="58813B30">
              <w:rPr>
                <w:rFonts w:ascii="Calibri" w:hAnsi="Calibri" w:eastAsia="Calibri" w:cs="Calibri"/>
                <w:sz w:val="22"/>
                <w:szCs w:val="22"/>
              </w:rPr>
              <w:t>Training hours per person, number of certified specialists</w:t>
            </w:r>
          </w:p>
        </w:tc>
      </w:tr>
      <w:tr w:rsidR="58813B30" w:rsidTr="58813B30" w14:paraId="12DB0017">
        <w:trPr>
          <w:trHeight w:val="300"/>
        </w:trPr>
        <w:tc>
          <w:tcPr>
            <w:tcW w:w="37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15D042AC" w14:textId="4129186D">
            <w:pPr>
              <w:bidi w:val="0"/>
              <w:spacing w:before="0" w:beforeAutospacing="off" w:after="0" w:afterAutospacing="off"/>
            </w:pPr>
            <w:r w:rsidRPr="58813B30" w:rsidR="58813B30">
              <w:rPr>
                <w:rFonts w:ascii="Calibri" w:hAnsi="Calibri" w:eastAsia="Calibri" w:cs="Calibri"/>
                <w:sz w:val="22"/>
                <w:szCs w:val="22"/>
              </w:rPr>
              <w:t>Compliance with international standards</w:t>
            </w:r>
          </w:p>
        </w:tc>
        <w:tc>
          <w:tcPr>
            <w:tcW w:w="52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3A068CA5" w14:textId="51CF49B7">
            <w:pPr>
              <w:bidi w:val="0"/>
              <w:spacing w:before="0" w:beforeAutospacing="off" w:after="0" w:afterAutospacing="off"/>
            </w:pPr>
            <w:r w:rsidRPr="58813B30" w:rsidR="58813B30">
              <w:rPr>
                <w:rFonts w:ascii="Calibri" w:hAnsi="Calibri" w:eastAsia="Calibri" w:cs="Calibri"/>
                <w:sz w:val="22"/>
                <w:szCs w:val="22"/>
              </w:rPr>
              <w:t>CBAM and TSRS reports submitted on time without corrections</w:t>
            </w:r>
          </w:p>
        </w:tc>
      </w:tr>
      <w:tr w:rsidR="58813B30" w:rsidTr="58813B30" w14:paraId="2F40EF40">
        <w:trPr>
          <w:trHeight w:val="300"/>
        </w:trPr>
        <w:tc>
          <w:tcPr>
            <w:tcW w:w="37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29F202DB" w14:textId="2DF17DD9">
            <w:pPr>
              <w:bidi w:val="0"/>
              <w:spacing w:before="0" w:beforeAutospacing="off" w:after="0" w:afterAutospacing="off"/>
            </w:pPr>
            <w:r w:rsidRPr="58813B30" w:rsidR="58813B30">
              <w:rPr>
                <w:rFonts w:ascii="Calibri" w:hAnsi="Calibri" w:eastAsia="Calibri" w:cs="Calibri"/>
                <w:sz w:val="22"/>
                <w:szCs w:val="22"/>
              </w:rPr>
              <w:t>Competitiveness</w:t>
            </w:r>
          </w:p>
        </w:tc>
        <w:tc>
          <w:tcPr>
            <w:tcW w:w="52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402C437D" w14:textId="7BF7C4B3">
            <w:pPr>
              <w:bidi w:val="0"/>
              <w:spacing w:before="0" w:beforeAutospacing="off" w:after="0" w:afterAutospacing="off"/>
            </w:pPr>
            <w:r w:rsidRPr="58813B30" w:rsidR="58813B30">
              <w:rPr>
                <w:rFonts w:ascii="Calibri" w:hAnsi="Calibri" w:eastAsia="Calibri" w:cs="Calibri"/>
                <w:sz w:val="22"/>
                <w:szCs w:val="22"/>
              </w:rPr>
              <w:t>Share of customers and exports with green requirements</w:t>
            </w:r>
          </w:p>
        </w:tc>
      </w:tr>
      <w:tr w:rsidR="58813B30" w:rsidTr="58813B30" w14:paraId="73C589FD">
        <w:trPr>
          <w:trHeight w:val="300"/>
        </w:trPr>
        <w:tc>
          <w:tcPr>
            <w:tcW w:w="37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35ED7568" w14:textId="466BAC8C">
            <w:pPr>
              <w:bidi w:val="0"/>
              <w:spacing w:before="0" w:beforeAutospacing="off" w:after="0" w:afterAutospacing="off"/>
            </w:pPr>
            <w:r w:rsidRPr="58813B30" w:rsidR="58813B30">
              <w:rPr>
                <w:rFonts w:ascii="Calibri" w:hAnsi="Calibri" w:eastAsia="Calibri" w:cs="Calibri"/>
                <w:sz w:val="22"/>
                <w:szCs w:val="22"/>
              </w:rPr>
              <w:t xml:space="preserve">Higher productivity </w:t>
            </w:r>
            <w:r w:rsidRPr="58813B30" w:rsidR="58813B30">
              <w:rPr>
                <w:rFonts w:ascii="Calibri" w:hAnsi="Calibri" w:eastAsia="Calibri" w:cs="Calibri"/>
                <w:b w:val="1"/>
                <w:bCs w:val="1"/>
                <w:sz w:val="22"/>
                <w:szCs w:val="22"/>
              </w:rPr>
              <w:t>(core target)</w:t>
            </w:r>
          </w:p>
        </w:tc>
        <w:tc>
          <w:tcPr>
            <w:tcW w:w="52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390DEC5A" w14:textId="1E33F973">
            <w:pPr>
              <w:bidi w:val="0"/>
              <w:spacing w:before="0" w:beforeAutospacing="off" w:after="0" w:afterAutospacing="off"/>
            </w:pPr>
            <w:r w:rsidRPr="58813B30" w:rsidR="58813B30">
              <w:rPr>
                <w:rFonts w:ascii="Calibri" w:hAnsi="Calibri" w:eastAsia="Calibri" w:cs="Calibri"/>
                <w:sz w:val="22"/>
                <w:szCs w:val="22"/>
              </w:rPr>
              <w:t>kWh/ton, scrap rate</w:t>
            </w:r>
          </w:p>
        </w:tc>
      </w:tr>
      <w:tr w:rsidR="58813B30" w:rsidTr="58813B30" w14:paraId="249C580D">
        <w:trPr>
          <w:trHeight w:val="300"/>
        </w:trPr>
        <w:tc>
          <w:tcPr>
            <w:tcW w:w="3795"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6C10D7BB" w14:textId="2CBB07D5">
            <w:pPr>
              <w:bidi w:val="0"/>
              <w:spacing w:before="0" w:beforeAutospacing="off" w:after="0" w:afterAutospacing="off"/>
            </w:pPr>
            <w:r w:rsidRPr="58813B30" w:rsidR="58813B30">
              <w:rPr>
                <w:rFonts w:ascii="Calibri" w:hAnsi="Calibri" w:eastAsia="Calibri" w:cs="Calibri"/>
                <w:sz w:val="22"/>
                <w:szCs w:val="22"/>
              </w:rPr>
              <w:t xml:space="preserve">Higher employee satisfaction </w:t>
            </w:r>
            <w:r w:rsidRPr="58813B30" w:rsidR="58813B30">
              <w:rPr>
                <w:rFonts w:ascii="Calibri" w:hAnsi="Calibri" w:eastAsia="Calibri" w:cs="Calibri"/>
                <w:b w:val="1"/>
                <w:bCs w:val="1"/>
                <w:sz w:val="22"/>
                <w:szCs w:val="22"/>
              </w:rPr>
              <w:t>(core target)</w:t>
            </w:r>
          </w:p>
        </w:tc>
        <w:tc>
          <w:tcPr>
            <w:tcW w:w="5220" w:type="dxa"/>
            <w:tcBorders>
              <w:top w:val="single" w:color="C9D3CC" w:sz="8"/>
              <w:left w:val="single" w:color="C9D3CC" w:sz="8"/>
              <w:bottom w:val="single" w:color="C9D3CC" w:sz="8"/>
              <w:right w:val="single" w:color="C9D3CC" w:sz="8"/>
            </w:tcBorders>
            <w:tcMar>
              <w:top w:w="90" w:type="dxa"/>
              <w:left w:w="120" w:type="dxa"/>
              <w:bottom w:w="90" w:type="dxa"/>
              <w:right w:w="120" w:type="dxa"/>
            </w:tcMar>
            <w:vAlign w:val="top"/>
          </w:tcPr>
          <w:p w:rsidR="58813B30" w:rsidP="58813B30" w:rsidRDefault="58813B30" w14:paraId="18A88037" w14:textId="14EA9A11">
            <w:pPr>
              <w:bidi w:val="0"/>
              <w:spacing w:before="0" w:beforeAutospacing="off" w:after="0" w:afterAutospacing="off"/>
            </w:pPr>
            <w:r w:rsidRPr="58813B30" w:rsidR="58813B30">
              <w:rPr>
                <w:rFonts w:ascii="Calibri" w:hAnsi="Calibri" w:eastAsia="Calibri" w:cs="Calibri"/>
                <w:sz w:val="22"/>
                <w:szCs w:val="22"/>
              </w:rPr>
              <w:t>Number of suggestions and share implemented, engagement score</w:t>
            </w:r>
          </w:p>
        </w:tc>
      </w:tr>
    </w:tbl>
    <w:p xmlns:wp14="http://schemas.microsoft.com/office/word/2010/wordml" wp14:paraId="1D636C72" wp14:textId="112271F4"/>
    <w:p xmlns:wp14="http://schemas.microsoft.com/office/word/2010/wordml" w:rsidP="58813B30" wp14:paraId="2D6DE2F0" wp14:textId="74B3CD25">
      <w:pPr>
        <w:bidi w:val="0"/>
        <w:spacing w:before="0" w:beforeAutospacing="off" w:after="0" w:afterAutospacing="off"/>
      </w:pPr>
      <w:r w:rsidRPr="58813B30" w:rsidR="58813B30">
        <w:rPr>
          <w:rFonts w:ascii="Calibri" w:hAnsi="Calibri" w:eastAsia="Calibri" w:cs="Calibri"/>
          <w:noProof w:val="0"/>
          <w:sz w:val="22"/>
          <w:szCs w:val="22"/>
          <w:lang w:val="tr-TR"/>
        </w:rPr>
        <w:t xml:space="preserve"> </w:t>
      </w:r>
    </w:p>
    <w:p xmlns:wp14="http://schemas.microsoft.com/office/word/2010/wordml" w:rsidP="58813B30" wp14:paraId="075D47C1" wp14:textId="235647E7">
      <w:pPr>
        <w:pStyle w:val="Heading1"/>
        <w:bidi w:val="0"/>
        <w:spacing w:before="360" w:beforeAutospacing="off" w:after="140" w:afterAutospacing="off"/>
      </w:pPr>
      <w:r w:rsidRPr="58813B30" w:rsidR="58813B30">
        <w:rPr>
          <w:rFonts w:ascii="Calibri" w:hAnsi="Calibri" w:eastAsia="Calibri" w:cs="Calibri"/>
          <w:b w:val="1"/>
          <w:bCs w:val="1"/>
          <w:noProof w:val="0"/>
          <w:color w:val="2E4A3A"/>
          <w:sz w:val="30"/>
          <w:szCs w:val="30"/>
          <w:lang w:val="tr-TR"/>
        </w:rPr>
        <w:t>Appendix: Workshop board</w:t>
      </w:r>
    </w:p>
    <w:p xmlns:wp14="http://schemas.microsoft.com/office/word/2010/wordml" w:rsidP="58813B30" wp14:paraId="011F47EF" wp14:textId="2BD8B003">
      <w:pPr>
        <w:bidi w:val="0"/>
        <w:spacing w:before="0" w:beforeAutospacing="off" w:after="120" w:afterAutospacing="off"/>
      </w:pPr>
      <w:r w:rsidRPr="58813B30" w:rsidR="58813B30">
        <w:rPr>
          <w:rFonts w:ascii="Calibri" w:hAnsi="Calibri" w:eastAsia="Calibri" w:cs="Calibri"/>
          <w:noProof w:val="0"/>
          <w:sz w:val="22"/>
          <w:szCs w:val="22"/>
          <w:lang w:val="tr-TR"/>
        </w:rPr>
        <w:t>The group's original board from the forum session: problem notes, ESG fishbone and solution proposals.</w:t>
      </w:r>
    </w:p>
    <w:p xmlns:wp14="http://schemas.microsoft.com/office/word/2010/wordml" w:rsidP="58813B30" wp14:paraId="0A2FE346" wp14:textId="01F814AE">
      <w:pPr>
        <w:bidi w:val="0"/>
        <w:spacing w:before="0" w:beforeAutospacing="off" w:after="120" w:afterAutospacing="off"/>
        <w:rPr>
          <w:rFonts w:ascii="Calibri" w:hAnsi="Calibri" w:eastAsia="Calibri" w:cs="Calibri"/>
          <w:noProof w:val="0"/>
          <w:sz w:val="22"/>
          <w:szCs w:val="22"/>
          <w:lang w:val="tr-TR"/>
        </w:rPr>
      </w:pPr>
    </w:p>
    <w:p xmlns:wp14="http://schemas.microsoft.com/office/word/2010/wordml" w:rsidP="58813B30" wp14:paraId="562772B5" wp14:textId="09C3009B">
      <w:pPr>
        <w:bidi w:val="0"/>
        <w:spacing w:before="0" w:beforeAutospacing="off" w:after="120" w:afterAutospacing="off"/>
        <w:rPr>
          <w:rFonts w:ascii="Calibri" w:hAnsi="Calibri" w:eastAsia="Calibri" w:cs="Calibri"/>
          <w:noProof w:val="0"/>
          <w:sz w:val="22"/>
          <w:szCs w:val="22"/>
          <w:lang w:val="tr-TR"/>
        </w:rPr>
      </w:pPr>
    </w:p>
    <w:p xmlns:wp14="http://schemas.microsoft.com/office/word/2010/wordml" w:rsidP="58813B30" wp14:paraId="2B5D9D27" wp14:textId="3617452F">
      <w:pPr>
        <w:bidi w:val="0"/>
        <w:spacing w:before="0" w:beforeAutospacing="off" w:after="0" w:afterAutospacing="off"/>
        <w:jc w:val="center"/>
      </w:pPr>
      <w:r>
        <w:drawing>
          <wp:inline xmlns:wp14="http://schemas.microsoft.com/office/word/2010/wordprocessingDrawing" wp14:editId="107CE5AF" wp14:anchorId="7D26C8D9">
            <wp:extent cx="4000500" cy="5334000"/>
            <wp:effectExtent l="0" t="0" r="0" b="0"/>
            <wp:docPr id="1591794766" name="drawing" title="Başlık: Workshop board - Açıklama: Photo of the group's ESG fishbone board from the GreenSync foru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794766" name="Picture 1591794766"/>
                    <pic:cNvPicPr/>
                  </pic:nvPicPr>
                  <pic:blipFill>
                    <a:blip xmlns:r="http://schemas.openxmlformats.org/officeDocument/2006/relationships" r:embed="rId759117929">
                      <a:extLst>
                        <a:ext uri="{28A0092B-C50C-407E-A947-70E740481C1C}">
                          <a14:useLocalDpi xmlns:a14="http://schemas.microsoft.com/office/drawing/2010/main"/>
                        </a:ext>
                      </a:extLst>
                    </a:blip>
                    <a:stretch>
                      <a:fillRect/>
                    </a:stretch>
                  </pic:blipFill>
                  <pic:spPr>
                    <a:xfrm>
                      <a:off x="0" y="0"/>
                      <a:ext cx="4000500" cy="5334000"/>
                    </a:xfrm>
                    <a:prstGeom prst="rect">
                      <a:avLst/>
                    </a:prstGeom>
                  </pic:spPr>
                </pic:pic>
              </a:graphicData>
            </a:graphic>
          </wp:inline>
        </w:drawing>
      </w:r>
    </w:p>
    <w:p xmlns:wp14="http://schemas.microsoft.com/office/word/2010/wordml" wp14:paraId="1DB4442F" wp14:textId="6DB43D91"/>
    <w:p w:rsidR="58813B30" w:rsidRDefault="58813B30" w14:paraId="494C6239" w14:textId="2857182F">
      <w:r w:rsidRPr="58813B30" w:rsidR="58813B30">
        <w:rPr>
          <w:b w:val="1"/>
          <w:bCs w:val="1"/>
        </w:rPr>
        <w:t xml:space="preserve">Enes Koç: </w:t>
      </w:r>
      <w:r w:rsidR="58813B30">
        <w:rPr/>
        <w:t>ETS Kapsamında biraz derinleştirmeyi düşündüm ve aşağıdaki öneriyi oluşturdum.</w:t>
      </w:r>
    </w:p>
    <w:p w:rsidR="58813B30" w:rsidP="58813B30" w:rsidRDefault="58813B30" w14:paraId="7EF96380" w14:textId="1A815DAE">
      <w:pPr>
        <w:pStyle w:val="Heading4"/>
        <w:spacing w:before="319" w:beforeAutospacing="off" w:after="319" w:afterAutospacing="off"/>
      </w:pPr>
      <w:r w:rsidRPr="58813B30" w:rsidR="58813B30">
        <w:rPr>
          <w:rFonts w:ascii="Aptos" w:hAnsi="Aptos" w:eastAsia="Aptos" w:cs="Aptos"/>
          <w:b w:val="1"/>
          <w:bCs w:val="1"/>
          <w:noProof w:val="0"/>
          <w:color w:val="000000" w:themeColor="text1" w:themeTint="FF" w:themeShade="FF"/>
          <w:sz w:val="24"/>
          <w:szCs w:val="24"/>
          <w:lang w:val="tr-TR"/>
        </w:rPr>
        <w:t>TR ETS Integration and Carbon Asset Management: Transitioning from Passive Tracking to Active Compliance and Sectoral Collaboration</w:t>
      </w:r>
    </w:p>
    <w:p w:rsidR="58813B30" w:rsidP="58813B30" w:rsidRDefault="58813B30" w14:paraId="63582114" w14:textId="4CDC01C1">
      <w:pPr>
        <w:spacing w:before="240" w:beforeAutospacing="off" w:after="240" w:afterAutospacing="off"/>
      </w:pPr>
      <w:r w:rsidRPr="58813B30" w:rsidR="58813B30">
        <w:rPr>
          <w:rFonts w:ascii="Aptos" w:hAnsi="Aptos" w:eastAsia="Aptos" w:cs="Aptos"/>
          <w:b w:val="1"/>
          <w:bCs w:val="1"/>
          <w:noProof w:val="0"/>
          <w:color w:val="000000" w:themeColor="text1" w:themeTint="FF" w:themeShade="FF"/>
          <w:sz w:val="24"/>
          <w:szCs w:val="24"/>
          <w:lang w:val="tr-TR"/>
        </w:rPr>
        <w:t>Rationale &amp; Context:</w:t>
      </w:r>
    </w:p>
    <w:p w:rsidR="58813B30" w:rsidP="58813B30" w:rsidRDefault="58813B30" w14:paraId="215D32CC" w14:textId="4E982304">
      <w:pPr>
        <w:spacing w:before="240" w:beforeAutospacing="off" w:after="240" w:afterAutospacing="off"/>
      </w:pPr>
      <w:r w:rsidRPr="58813B30" w:rsidR="58813B30">
        <w:rPr>
          <w:rFonts w:ascii="Aptos" w:hAnsi="Aptos" w:eastAsia="Aptos" w:cs="Aptos"/>
          <w:noProof w:val="0"/>
          <w:color w:val="000000" w:themeColor="text1" w:themeTint="FF" w:themeShade="FF"/>
          <w:sz w:val="24"/>
          <w:szCs w:val="24"/>
          <w:lang w:val="tr-TR"/>
        </w:rPr>
        <w:t xml:space="preserve">In our current working draft, the Emissions Trading System (ETS) is framed primarily as a regulatory radar item under Axis 5. However, under the Climate Law and the newly enacted Turkish Emissions Trading System (TR ETS), carbon transitions from a reporting metric into a </w:t>
      </w:r>
      <w:r w:rsidRPr="58813B30" w:rsidR="58813B30">
        <w:rPr>
          <w:rFonts w:ascii="Aptos" w:hAnsi="Aptos" w:eastAsia="Aptos" w:cs="Aptos"/>
          <w:b w:val="1"/>
          <w:bCs w:val="1"/>
          <w:noProof w:val="0"/>
          <w:color w:val="000000" w:themeColor="text1" w:themeTint="FF" w:themeShade="FF"/>
          <w:sz w:val="24"/>
          <w:szCs w:val="24"/>
          <w:lang w:val="tr-TR"/>
        </w:rPr>
        <w:t>balance sheet item, financial risk, and market mechanism</w:t>
      </w:r>
      <w:r w:rsidRPr="58813B30" w:rsidR="58813B30">
        <w:rPr>
          <w:rFonts w:ascii="Aptos" w:hAnsi="Aptos" w:eastAsia="Aptos" w:cs="Aptos"/>
          <w:noProof w:val="0"/>
          <w:color w:val="000000" w:themeColor="text1" w:themeTint="FF" w:themeShade="FF"/>
          <w:sz w:val="24"/>
          <w:szCs w:val="24"/>
          <w:lang w:val="tr-TR"/>
        </w:rPr>
        <w:t>. For the manufacturing and metals sector, TR ETS also serves as a strategic financial buffer, allowing domestic carbon pricing to be credited against EU CBAM liabilities.</w:t>
      </w:r>
    </w:p>
    <w:p w:rsidR="58813B30" w:rsidP="58813B30" w:rsidRDefault="58813B30" w14:paraId="359703F3" w14:textId="75253487">
      <w:pPr>
        <w:spacing w:before="240" w:beforeAutospacing="off" w:after="240" w:afterAutospacing="off"/>
      </w:pPr>
      <w:r w:rsidRPr="58813B30" w:rsidR="58813B30">
        <w:rPr>
          <w:rFonts w:ascii="Aptos" w:hAnsi="Aptos" w:eastAsia="Aptos" w:cs="Aptos"/>
          <w:noProof w:val="0"/>
          <w:color w:val="000000" w:themeColor="text1" w:themeTint="FF" w:themeShade="FF"/>
          <w:sz w:val="24"/>
          <w:szCs w:val="24"/>
          <w:lang w:val="tr-TR"/>
        </w:rPr>
        <w:t>To address this, I propose adding the following three-dimensional action and collaboration framework to our document:</w:t>
      </w:r>
    </w:p>
    <w:p w:rsidR="58813B30" w:rsidP="58813B30" w:rsidRDefault="58813B30" w14:paraId="1B0D02B5" w14:textId="7E64202A">
      <w:pPr>
        <w:pStyle w:val="Heading5"/>
        <w:spacing w:before="333" w:beforeAutospacing="off" w:after="333" w:afterAutospacing="off"/>
      </w:pPr>
      <w:r w:rsidRPr="58813B30" w:rsidR="58813B30">
        <w:rPr>
          <w:rFonts w:ascii="Aptos" w:hAnsi="Aptos" w:eastAsia="Aptos" w:cs="Aptos"/>
          <w:b w:val="1"/>
          <w:bCs w:val="1"/>
          <w:noProof w:val="0"/>
          <w:color w:val="000000" w:themeColor="text1" w:themeTint="FF" w:themeShade="FF"/>
          <w:sz w:val="19"/>
          <w:szCs w:val="19"/>
          <w:lang w:val="tr-TR"/>
        </w:rPr>
        <w:t>1. Operational and Financial Actions (Enhancements to Existing Axes)</w:t>
      </w:r>
    </w:p>
    <w:p w:rsidR="58813B30" w:rsidP="58813B30" w:rsidRDefault="58813B30" w14:paraId="1370A4A3" w14:textId="1AC92084">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tr-TR"/>
        </w:rPr>
      </w:pPr>
      <w:r w:rsidRPr="58813B30" w:rsidR="58813B30">
        <w:rPr>
          <w:rFonts w:ascii="Aptos" w:hAnsi="Aptos" w:eastAsia="Aptos" w:cs="Aptos"/>
          <w:b w:val="1"/>
          <w:bCs w:val="1"/>
          <w:noProof w:val="0"/>
          <w:color w:val="000000" w:themeColor="text1" w:themeTint="FF" w:themeShade="FF"/>
          <w:sz w:val="24"/>
          <w:szCs w:val="24"/>
          <w:lang w:val="tr-TR"/>
        </w:rPr>
        <w:t>Internal Carbon Pricing (Axis 1 - Governance):</w:t>
      </w:r>
      <w:r w:rsidRPr="58813B30" w:rsidR="58813B30">
        <w:rPr>
          <w:rFonts w:ascii="Aptos" w:hAnsi="Aptos" w:eastAsia="Aptos" w:cs="Aptos"/>
          <w:noProof w:val="0"/>
          <w:color w:val="000000" w:themeColor="text1" w:themeTint="FF" w:themeShade="FF"/>
          <w:sz w:val="24"/>
          <w:szCs w:val="24"/>
          <w:lang w:val="tr-TR"/>
        </w:rPr>
        <w:t xml:space="preserve"> Rather than merely adding an "energy/emissions impact" note to CapEx requests, implement an internal </w:t>
      </w:r>
      <w:r w:rsidRPr="58813B30" w:rsidR="58813B30">
        <w:rPr>
          <w:rFonts w:ascii="Aptos" w:hAnsi="Aptos" w:eastAsia="Aptos" w:cs="Aptos"/>
          <w:b w:val="1"/>
          <w:bCs w:val="1"/>
          <w:noProof w:val="0"/>
          <w:color w:val="000000" w:themeColor="text1" w:themeTint="FF" w:themeShade="FF"/>
          <w:sz w:val="24"/>
          <w:szCs w:val="24"/>
          <w:lang w:val="tr-TR"/>
        </w:rPr>
        <w:t>Shadow Carbon Price (e.g., in €/tCO₂e)</w:t>
      </w:r>
      <w:r w:rsidRPr="58813B30" w:rsidR="58813B30">
        <w:rPr>
          <w:rFonts w:ascii="Aptos" w:hAnsi="Aptos" w:eastAsia="Aptos" w:cs="Aptos"/>
          <w:noProof w:val="0"/>
          <w:color w:val="000000" w:themeColor="text1" w:themeTint="FF" w:themeShade="FF"/>
          <w:sz w:val="24"/>
          <w:szCs w:val="24"/>
          <w:lang w:val="tr-TR"/>
        </w:rPr>
        <w:t>. This ensures decarbonization investments reflect real economic returns by pricing in avoided ETS compliance costs.</w:t>
      </w:r>
    </w:p>
    <w:p w:rsidR="58813B30" w:rsidP="58813B30" w:rsidRDefault="58813B30" w14:paraId="0E55BC5E" w14:textId="31A8EF50">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tr-TR"/>
        </w:rPr>
      </w:pPr>
      <w:r w:rsidRPr="58813B30" w:rsidR="58813B30">
        <w:rPr>
          <w:rFonts w:ascii="Aptos" w:hAnsi="Aptos" w:eastAsia="Aptos" w:cs="Aptos"/>
          <w:b w:val="1"/>
          <w:bCs w:val="1"/>
          <w:noProof w:val="0"/>
          <w:color w:val="000000" w:themeColor="text1" w:themeTint="FF" w:themeShade="FF"/>
          <w:sz w:val="24"/>
          <w:szCs w:val="24"/>
          <w:lang w:val="tr-TR"/>
        </w:rPr>
        <w:t>MRV &amp; Assurance Readiness (Axis 2 - Data Infrastructure):</w:t>
      </w:r>
      <w:r w:rsidRPr="58813B30" w:rsidR="58813B30">
        <w:rPr>
          <w:rFonts w:ascii="Aptos" w:hAnsi="Aptos" w:eastAsia="Aptos" w:cs="Aptos"/>
          <w:noProof w:val="0"/>
          <w:color w:val="000000" w:themeColor="text1" w:themeTint="FF" w:themeShade="FF"/>
          <w:sz w:val="24"/>
          <w:szCs w:val="24"/>
          <w:lang w:val="tr-TR"/>
        </w:rPr>
        <w:t xml:space="preserve"> Ensure the centralized ESG database directly aligns with national Monitoring, Reporting, and Verification (MRV) regulations. Establish an automated, auditable Monitoring Plan designed to support accredited third-party verification without friction.</w:t>
      </w:r>
    </w:p>
    <w:p w:rsidR="58813B30" w:rsidP="58813B30" w:rsidRDefault="58813B30" w14:paraId="0119FE8D" w14:textId="7D64FAC1">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tr-TR"/>
        </w:rPr>
      </w:pPr>
      <w:r w:rsidRPr="58813B30" w:rsidR="58813B30">
        <w:rPr>
          <w:rFonts w:ascii="Aptos" w:hAnsi="Aptos" w:eastAsia="Aptos" w:cs="Aptos"/>
          <w:b w:val="1"/>
          <w:bCs w:val="1"/>
          <w:noProof w:val="0"/>
          <w:color w:val="000000" w:themeColor="text1" w:themeTint="FF" w:themeShade="FF"/>
          <w:sz w:val="24"/>
          <w:szCs w:val="24"/>
          <w:lang w:val="tr-TR"/>
        </w:rPr>
        <w:t>Carbon Portfolio Management (Axis 5 - External Ecosystem):</w:t>
      </w:r>
      <w:r w:rsidRPr="58813B30" w:rsidR="58813B30">
        <w:rPr>
          <w:rFonts w:ascii="Aptos" w:hAnsi="Aptos" w:eastAsia="Aptos" w:cs="Aptos"/>
          <w:noProof w:val="0"/>
          <w:color w:val="000000" w:themeColor="text1" w:themeTint="FF" w:themeShade="FF"/>
          <w:sz w:val="24"/>
          <w:szCs w:val="24"/>
          <w:lang w:val="tr-TR"/>
        </w:rPr>
        <w:t xml:space="preserve"> Define a joint </w:t>
      </w:r>
      <w:r w:rsidRPr="58813B30" w:rsidR="58813B30">
        <w:rPr>
          <w:rFonts w:ascii="Aptos" w:hAnsi="Aptos" w:eastAsia="Aptos" w:cs="Aptos"/>
          <w:b w:val="1"/>
          <w:bCs w:val="1"/>
          <w:noProof w:val="0"/>
          <w:color w:val="000000" w:themeColor="text1" w:themeTint="FF" w:themeShade="FF"/>
          <w:sz w:val="24"/>
          <w:szCs w:val="24"/>
          <w:lang w:val="tr-TR"/>
        </w:rPr>
        <w:t>Carbon Asset Desk</w:t>
      </w:r>
      <w:r w:rsidRPr="58813B30" w:rsidR="58813B30">
        <w:rPr>
          <w:rFonts w:ascii="Aptos" w:hAnsi="Aptos" w:eastAsia="Aptos" w:cs="Aptos"/>
          <w:noProof w:val="0"/>
          <w:color w:val="000000" w:themeColor="text1" w:themeTint="FF" w:themeShade="FF"/>
          <w:sz w:val="24"/>
          <w:szCs w:val="24"/>
          <w:lang w:val="tr-TR"/>
        </w:rPr>
        <w:t xml:space="preserve"> across Sustainability, Operations, and Finance/Treasury. Model the facility's baseline emissions against national free allocation benchmarks, simulating surplus/deficit scenarios and trading strategies on the energy exchange (EPİAŞ).</w:t>
      </w:r>
    </w:p>
    <w:p w:rsidR="58813B30" w:rsidP="58813B30" w:rsidRDefault="58813B30" w14:paraId="79E52050" w14:textId="3B70D708">
      <w:pPr>
        <w:pStyle w:val="Heading5"/>
        <w:spacing w:before="333" w:beforeAutospacing="off" w:after="333" w:afterAutospacing="off"/>
      </w:pPr>
      <w:r w:rsidRPr="58813B30" w:rsidR="58813B30">
        <w:rPr>
          <w:rFonts w:ascii="Aptos" w:hAnsi="Aptos" w:eastAsia="Aptos" w:cs="Aptos"/>
          <w:b w:val="1"/>
          <w:bCs w:val="1"/>
          <w:noProof w:val="0"/>
          <w:color w:val="000000" w:themeColor="text1" w:themeTint="FF" w:themeShade="FF"/>
          <w:sz w:val="19"/>
          <w:szCs w:val="19"/>
          <w:lang w:val="tr-TR"/>
        </w:rPr>
        <w:t>2. Ecosystem &amp; Sector-Wide Collaboration (MESS, OIZs, and Supply Chain)</w:t>
      </w:r>
    </w:p>
    <w:p w:rsidR="58813B30" w:rsidP="58813B30" w:rsidRDefault="58813B30" w14:paraId="5E64BE9F" w14:textId="516D0688">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tr-TR"/>
        </w:rPr>
      </w:pPr>
      <w:r w:rsidRPr="58813B30" w:rsidR="58813B30">
        <w:rPr>
          <w:rFonts w:ascii="Aptos" w:hAnsi="Aptos" w:eastAsia="Aptos" w:cs="Aptos"/>
          <w:b w:val="1"/>
          <w:bCs w:val="1"/>
          <w:noProof w:val="0"/>
          <w:color w:val="000000" w:themeColor="text1" w:themeTint="FF" w:themeShade="FF"/>
          <w:sz w:val="24"/>
          <w:szCs w:val="24"/>
          <w:lang w:val="tr-TR"/>
        </w:rPr>
        <w:t>Joint ETS/MRV Capacity Building for Suppliers:</w:t>
      </w:r>
      <w:r w:rsidRPr="58813B30" w:rsidR="58813B30">
        <w:rPr>
          <w:rFonts w:ascii="Aptos" w:hAnsi="Aptos" w:eastAsia="Aptos" w:cs="Aptos"/>
          <w:noProof w:val="0"/>
          <w:color w:val="000000" w:themeColor="text1" w:themeTint="FF" w:themeShade="FF"/>
          <w:sz w:val="24"/>
          <w:szCs w:val="24"/>
          <w:lang w:val="tr-TR"/>
        </w:rPr>
        <w:t xml:space="preserve"> Leverage Axis 3 and Axis 5 partnerships (MESS, Organized Industrial Zones) to establish a "Shadow ETS Working Group." Provide tier-1 and critical SME suppliers with standardized MRV toolkits and joint training on carbon accounting, mitigating value-chain vulnerability.</w:t>
      </w:r>
    </w:p>
    <w:p w:rsidR="58813B30" w:rsidP="58813B30" w:rsidRDefault="58813B30" w14:paraId="57C9F06E" w14:textId="3796BEFB">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tr-TR"/>
        </w:rPr>
      </w:pPr>
      <w:r w:rsidRPr="58813B30" w:rsidR="58813B30">
        <w:rPr>
          <w:rFonts w:ascii="Aptos" w:hAnsi="Aptos" w:eastAsia="Aptos" w:cs="Aptos"/>
          <w:b w:val="1"/>
          <w:bCs w:val="1"/>
          <w:noProof w:val="0"/>
          <w:color w:val="000000" w:themeColor="text1" w:themeTint="FF" w:themeShade="FF"/>
          <w:sz w:val="24"/>
          <w:szCs w:val="24"/>
          <w:lang w:val="tr-TR"/>
        </w:rPr>
        <w:t>CBAM – TR ETS Tax Deduction Alignment:</w:t>
      </w:r>
      <w:r w:rsidRPr="58813B30" w:rsidR="58813B30">
        <w:rPr>
          <w:rFonts w:ascii="Aptos" w:hAnsi="Aptos" w:eastAsia="Aptos" w:cs="Aptos"/>
          <w:noProof w:val="0"/>
          <w:color w:val="000000" w:themeColor="text1" w:themeTint="FF" w:themeShade="FF"/>
          <w:sz w:val="24"/>
          <w:szCs w:val="24"/>
          <w:lang w:val="tr-TR"/>
        </w:rPr>
        <w:t xml:space="preserve"> Partner with sectoral associations to formulate a standard "Embedded Carbon Cost Verification Protocol," ensuring domestic carbon costs paid under TR ETS are seamlessly credited against EU CBAM obligations by export customers.</w:t>
      </w:r>
    </w:p>
    <w:p w:rsidR="58813B30" w:rsidP="58813B30" w:rsidRDefault="58813B30" w14:paraId="283E18D1" w14:textId="336ADE36">
      <w:pPr>
        <w:pStyle w:val="Heading5"/>
        <w:spacing w:before="333" w:beforeAutospacing="off" w:after="333" w:afterAutospacing="off"/>
      </w:pPr>
      <w:r w:rsidRPr="58813B30" w:rsidR="58813B30">
        <w:rPr>
          <w:rFonts w:ascii="Aptos" w:hAnsi="Aptos" w:eastAsia="Aptos" w:cs="Aptos"/>
          <w:b w:val="1"/>
          <w:bCs w:val="1"/>
          <w:noProof w:val="0"/>
          <w:color w:val="000000" w:themeColor="text1" w:themeTint="FF" w:themeShade="FF"/>
          <w:sz w:val="19"/>
          <w:szCs w:val="19"/>
          <w:lang w:val="tr-TR"/>
        </w:rPr>
        <w:t>3. Roadmap Alignment</w:t>
      </w:r>
    </w:p>
    <w:p w:rsidR="58813B30" w:rsidP="58813B30" w:rsidRDefault="58813B30" w14:paraId="52199AFD" w14:textId="47754FDB">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tr-TR"/>
        </w:rPr>
      </w:pPr>
      <w:r w:rsidRPr="58813B30" w:rsidR="58813B30">
        <w:rPr>
          <w:rFonts w:ascii="Aptos" w:hAnsi="Aptos" w:eastAsia="Aptos" w:cs="Aptos"/>
          <w:b w:val="1"/>
          <w:bCs w:val="1"/>
          <w:noProof w:val="0"/>
          <w:color w:val="000000" w:themeColor="text1" w:themeTint="FF" w:themeShade="FF"/>
          <w:sz w:val="24"/>
          <w:szCs w:val="24"/>
          <w:lang w:val="tr-TR"/>
        </w:rPr>
        <w:t>0–6 Months:</w:t>
      </w:r>
      <w:r w:rsidRPr="58813B30" w:rsidR="58813B30">
        <w:rPr>
          <w:rFonts w:ascii="Aptos" w:hAnsi="Aptos" w:eastAsia="Aptos" w:cs="Aptos"/>
          <w:noProof w:val="0"/>
          <w:color w:val="000000" w:themeColor="text1" w:themeTint="FF" w:themeShade="FF"/>
          <w:sz w:val="24"/>
          <w:szCs w:val="24"/>
          <w:lang w:val="tr-TR"/>
        </w:rPr>
        <w:t xml:space="preserve"> Map Scope 1 boundaries to national MRV guidelines; establish a baseline internal shadow carbon price for internal investment approvals.</w:t>
      </w:r>
    </w:p>
    <w:p w:rsidR="58813B30" w:rsidP="58813B30" w:rsidRDefault="58813B30" w14:paraId="54353B72" w14:textId="322564EE">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tr-TR"/>
        </w:rPr>
      </w:pPr>
      <w:r w:rsidRPr="58813B30" w:rsidR="58813B30">
        <w:rPr>
          <w:rFonts w:ascii="Aptos" w:hAnsi="Aptos" w:eastAsia="Aptos" w:cs="Aptos"/>
          <w:b w:val="1"/>
          <w:bCs w:val="1"/>
          <w:noProof w:val="0"/>
          <w:color w:val="000000" w:themeColor="text1" w:themeTint="FF" w:themeShade="FF"/>
          <w:sz w:val="24"/>
          <w:szCs w:val="24"/>
          <w:lang w:val="tr-TR"/>
        </w:rPr>
        <w:t>6–18 Months:</w:t>
      </w:r>
      <w:r w:rsidRPr="58813B30" w:rsidR="58813B30">
        <w:rPr>
          <w:rFonts w:ascii="Aptos" w:hAnsi="Aptos" w:eastAsia="Aptos" w:cs="Aptos"/>
          <w:noProof w:val="0"/>
          <w:color w:val="000000" w:themeColor="text1" w:themeTint="FF" w:themeShade="FF"/>
          <w:sz w:val="24"/>
          <w:szCs w:val="24"/>
          <w:lang w:val="tr-TR"/>
        </w:rPr>
        <w:t xml:space="preserve"> Digitize the mandatory monitoring plan; run stress tests on free allowance caps versus actual output; participate in platform simulation runs.</w:t>
      </w:r>
    </w:p>
    <w:p w:rsidR="58813B30" w:rsidP="58813B30" w:rsidRDefault="58813B30" w14:paraId="7CFA6B7A" w14:textId="5028B192">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tr-TR"/>
        </w:rPr>
      </w:pPr>
      <w:r w:rsidRPr="58813B30" w:rsidR="58813B30">
        <w:rPr>
          <w:rFonts w:ascii="Aptos" w:hAnsi="Aptos" w:eastAsia="Aptos" w:cs="Aptos"/>
          <w:b w:val="1"/>
          <w:bCs w:val="1"/>
          <w:noProof w:val="0"/>
          <w:color w:val="000000" w:themeColor="text1" w:themeTint="FF" w:themeShade="FF"/>
          <w:sz w:val="24"/>
          <w:szCs w:val="24"/>
          <w:lang w:val="tr-TR"/>
        </w:rPr>
        <w:t>18–36 Months:</w:t>
      </w:r>
      <w:r w:rsidRPr="58813B30" w:rsidR="58813B30">
        <w:rPr>
          <w:rFonts w:ascii="Aptos" w:hAnsi="Aptos" w:eastAsia="Aptos" w:cs="Aptos"/>
          <w:noProof w:val="0"/>
          <w:color w:val="000000" w:themeColor="text1" w:themeTint="FF" w:themeShade="FF"/>
          <w:sz w:val="24"/>
          <w:szCs w:val="24"/>
          <w:lang w:val="tr-TR"/>
        </w:rPr>
        <w:t xml:space="preserve"> Full-scale carbon asset and allowance management; continuous verified compliance; extended carbon cost integration across the value chain.</w:t>
      </w:r>
    </w:p>
    <w:p w:rsidR="58813B30" w:rsidP="58813B30" w:rsidRDefault="58813B30" w14:paraId="1378840D" w14:textId="62C88C6B">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24f5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1c4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f26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2245e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E75C46"/>
    <w:rsid w:val="2FE75C46"/>
    <w:rsid w:val="58813B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55DF8"/>
  <w15:chartTrackingRefBased/>
  <w15:docId w15:val="{B8A16682-08FB-4252-BD61-F0332BE183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8813B3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8813B3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8813B30"/>
    <w:pPr>
      <w:spacing/>
      <w:ind w:left="720"/>
      <w:contextualSpacing/>
    </w:pPr>
  </w:style>
  <w:style w:type="paragraph" w:styleId="Heading4">
    <w:uiPriority w:val="9"/>
    <w:name w:val="heading 4"/>
    <w:basedOn w:val="Normal"/>
    <w:next w:val="Normal"/>
    <w:unhideWhenUsed/>
    <w:qFormat/>
    <w:rsid w:val="58813B3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58813B30"/>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gif" Id="rId759117929" /><Relationship Type="http://schemas.openxmlformats.org/officeDocument/2006/relationships/numbering" Target="numbering.xml" Id="R976629782edf4c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2026-10-06T18:08:24.2874046Z</dcterms:created>
  <dcterms:modified xsi:type="dcterms:W3CDTF">2026-10-08T09:28:59.0987129Z</dcterms:modified>
  <dc:creator>Konuk Kullanıcı</dc:creator>
  <lastModifiedBy>Konuk Kullanıcı</lastModifiedBy>
</coreProperties>
</file>