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85A2" w14:textId="77777777" w:rsidR="00837646" w:rsidRDefault="00837646" w:rsidP="00837646">
      <w:r>
        <w:t>Summary of Benchmark Report</w:t>
      </w:r>
    </w:p>
    <w:p w14:paraId="7B4B68FF" w14:textId="77777777" w:rsidR="00837646" w:rsidRDefault="00837646" w:rsidP="00837646">
      <w:r>
        <w:t>General Issues</w:t>
      </w:r>
    </w:p>
    <w:p w14:paraId="529DD8C7" w14:textId="567C771F" w:rsidR="00837646" w:rsidRDefault="00837646" w:rsidP="00837646">
      <w:proofErr w:type="spellStart"/>
      <w:r>
        <w:t>ECM_Test</w:t>
      </w:r>
      <w:proofErr w:type="spellEnd"/>
      <w:r>
        <w:t xml:space="preserve"> itself didn’t compile. So, had to transfer necessary source file from </w:t>
      </w:r>
      <w:proofErr w:type="spellStart"/>
      <w:r>
        <w:t>ECM_test</w:t>
      </w:r>
      <w:proofErr w:type="spellEnd"/>
      <w:r>
        <w:t xml:space="preserve"> to </w:t>
      </w:r>
      <w:proofErr w:type="spellStart"/>
      <w:r>
        <w:t>EC_beta</w:t>
      </w:r>
      <w:proofErr w:type="spellEnd"/>
      <w:r>
        <w:t xml:space="preserve"> and compiled it. The current version of </w:t>
      </w:r>
      <w:proofErr w:type="spellStart"/>
      <w:r>
        <w:t>EC_beta</w:t>
      </w:r>
      <w:proofErr w:type="spellEnd"/>
      <w:r>
        <w:t xml:space="preserve"> has all the necessary source file required to run all benchmark problems. </w:t>
      </w:r>
    </w:p>
    <w:p w14:paraId="2B357510" w14:textId="6D18DBF6" w:rsidR="00837646" w:rsidRDefault="00837646" w:rsidP="00837646">
      <w:r>
        <w:t xml:space="preserve"> </w:t>
      </w:r>
    </w:p>
    <w:p w14:paraId="27278288" w14:textId="2AF8F0AA" w:rsidR="00837646" w:rsidRDefault="00837646" w:rsidP="00837646">
      <w:proofErr w:type="spellStart"/>
      <w:r>
        <w:t>ADComputeFiniteStrain</w:t>
      </w:r>
      <w:proofErr w:type="spellEnd"/>
      <w:r>
        <w:t xml:space="preserve"> fails unless the problem is defined in RZ coordinates.</w:t>
      </w:r>
    </w:p>
    <w:p w14:paraId="54D482B8" w14:textId="77777777" w:rsidR="00837646" w:rsidRDefault="00837646" w:rsidP="00837646">
      <w:r>
        <w:t xml:space="preserve">Inconsistent naming: for example, </w:t>
      </w:r>
      <w:proofErr w:type="spellStart"/>
      <w:r>
        <w:t>ADDiffusionAlongPrincipalDirections</w:t>
      </w:r>
      <w:proofErr w:type="spellEnd"/>
      <w:r>
        <w:t xml:space="preserve"> should be </w:t>
      </w:r>
    </w:p>
    <w:p w14:paraId="4968C066" w14:textId="4A5909A9" w:rsidR="00837646" w:rsidRDefault="00837646" w:rsidP="00837646">
      <w:proofErr w:type="spellStart"/>
      <w:r>
        <w:t>ADDiffusionAlongPrincipalDirectionsMaterial</w:t>
      </w:r>
      <w:proofErr w:type="spellEnd"/>
      <w:r>
        <w:t xml:space="preserve"> to match the source code.</w:t>
      </w:r>
    </w:p>
    <w:p w14:paraId="42A363CB" w14:textId="2A194C2F" w:rsidR="00837646" w:rsidRDefault="00837646" w:rsidP="00837646">
      <w:r>
        <w:t>Unit should be consistent throughout each benchmark problems</w:t>
      </w:r>
    </w:p>
    <w:p w14:paraId="5199CC71" w14:textId="582BFF96" w:rsidR="00837646" w:rsidRDefault="00837646" w:rsidP="00837646"/>
    <w:p w14:paraId="743F89ED" w14:textId="77777777" w:rsidR="00837646" w:rsidRDefault="00837646" w:rsidP="00837646"/>
    <w:p w14:paraId="52A9E0B8" w14:textId="77A79D04" w:rsidR="00837646" w:rsidRDefault="00837646" w:rsidP="00837646">
      <w:r>
        <w:t>Benchmark 1: Basic Functionality</w:t>
      </w:r>
    </w:p>
    <w:p w14:paraId="5A1EE09D" w14:textId="77777777" w:rsidR="00837646" w:rsidRDefault="00837646" w:rsidP="00837646">
      <w:r>
        <w:t>Status: Working as expected.</w:t>
      </w:r>
    </w:p>
    <w:p w14:paraId="6D9BC4D8" w14:textId="77777777" w:rsidR="00837646" w:rsidRDefault="00837646" w:rsidP="00837646"/>
    <w:p w14:paraId="0BDB7C32" w14:textId="77777777" w:rsidR="00837646" w:rsidRDefault="00837646" w:rsidP="00837646">
      <w:r>
        <w:t>Benchmark 2: Free Growth with Swelling</w:t>
      </w:r>
    </w:p>
    <w:p w14:paraId="7E384907" w14:textId="77777777" w:rsidR="00837646" w:rsidRDefault="00837646" w:rsidP="00837646">
      <w:r>
        <w:t xml:space="preserve">Material: </w:t>
      </w:r>
      <w:proofErr w:type="spellStart"/>
      <w:r>
        <w:t>ADIsoTropicHyperViscoSwelling</w:t>
      </w:r>
      <w:proofErr w:type="spellEnd"/>
    </w:p>
    <w:p w14:paraId="50567A97" w14:textId="77777777" w:rsidR="00837646" w:rsidRDefault="00837646" w:rsidP="00837646"/>
    <w:p w14:paraId="30EA2EA0" w14:textId="449B4375" w:rsidR="00837646" w:rsidRDefault="00837646" w:rsidP="00837646">
      <w:r>
        <w:t>Uniform Swelling (No diffusion):</w:t>
      </w:r>
    </w:p>
    <w:p w14:paraId="0AE12F9E" w14:textId="4E022DDA" w:rsidR="00837646" w:rsidRDefault="00837646" w:rsidP="00837646">
      <w:r>
        <w:t xml:space="preserve">Swelling introduced by </w:t>
      </w:r>
      <w:r>
        <w:t xml:space="preserve">varying </w:t>
      </w:r>
      <w:r>
        <w:t xml:space="preserve">the concentration field over time using </w:t>
      </w:r>
      <w:proofErr w:type="spellStart"/>
      <w:r>
        <w:t>AuxVariable</w:t>
      </w:r>
      <w:proofErr w:type="spellEnd"/>
      <w:r>
        <w:t>.</w:t>
      </w:r>
    </w:p>
    <w:p w14:paraId="36E1842C" w14:textId="1C04C9AF" w:rsidR="00837646" w:rsidRDefault="00837646" w:rsidP="00837646">
      <w:r>
        <w:t xml:space="preserve">The concentration field was scaled up by 100× compared to </w:t>
      </w:r>
      <w:r>
        <w:t>visually magnify the result</w:t>
      </w:r>
      <w:r>
        <w:t>.</w:t>
      </w:r>
    </w:p>
    <w:p w14:paraId="049859D7" w14:textId="38DFC6CD" w:rsidR="00837646" w:rsidRDefault="00837646" w:rsidP="00837646">
      <w:r>
        <w:t xml:space="preserve">Fiber and areal swelling </w:t>
      </w:r>
      <w:r>
        <w:t xml:space="preserve">seem to </w:t>
      </w:r>
      <w:r>
        <w:t xml:space="preserve">work </w:t>
      </w:r>
    </w:p>
    <w:p w14:paraId="63BB3604" w14:textId="77777777" w:rsidR="00837646" w:rsidRDefault="00837646" w:rsidP="00837646"/>
    <w:p w14:paraId="3DEAF047" w14:textId="7BDA7B70" w:rsidR="00837646" w:rsidRDefault="00837646" w:rsidP="00837646">
      <w:r>
        <w:t>Diffusion-Driven Swelling:</w:t>
      </w:r>
    </w:p>
    <w:p w14:paraId="7910B9EB" w14:textId="77777777" w:rsidR="00837646" w:rsidRDefault="00837646" w:rsidP="00837646">
      <w:r>
        <w:t>Solving the diffusion equation over time shows no noticeable evolution of the concentration field.</w:t>
      </w:r>
    </w:p>
    <w:p w14:paraId="0C909105" w14:textId="3433BAD5" w:rsidR="00837646" w:rsidRDefault="00837646" w:rsidP="00837646">
      <w:r>
        <w:t>Tried pure diffusion setup:</w:t>
      </w:r>
    </w:p>
    <w:p w14:paraId="38EE88A3" w14:textId="3F933EDE" w:rsidR="00837646" w:rsidRDefault="00837646" w:rsidP="00837646">
      <w:r>
        <w:lastRenderedPageBreak/>
        <w:t>With diffusivity = 1e8 and flux = 1e-14, no visible changes in concentration.</w:t>
      </w:r>
    </w:p>
    <w:p w14:paraId="46EE3115" w14:textId="0EDF9B0D" w:rsidR="00837646" w:rsidRDefault="00837646" w:rsidP="00837646">
      <w:r>
        <w:t>Changed to diffusivity = 0.1 and flux = 1e-2: some concentration evolution seen, but with suspicious negative values.</w:t>
      </w:r>
    </w:p>
    <w:p w14:paraId="3ADDDE27" w14:textId="77777777" w:rsidR="00837646" w:rsidRDefault="00837646" w:rsidP="00837646">
      <w:r>
        <w:t>Coupling with mechanics produced no observable mechanical response—likely due to misconfigured directional diffusion coupling.</w:t>
      </w:r>
    </w:p>
    <w:p w14:paraId="5C604D4A" w14:textId="77777777" w:rsidR="00837646" w:rsidRDefault="00837646" w:rsidP="00837646">
      <w:r>
        <w:t>Benchmark 2: Uniform Growth</w:t>
      </w:r>
    </w:p>
    <w:p w14:paraId="5CF677E8" w14:textId="334BF161" w:rsidR="00837646" w:rsidRDefault="00837646" w:rsidP="00837646">
      <w:r>
        <w:t xml:space="preserve">Source files: </w:t>
      </w:r>
      <w:proofErr w:type="spellStart"/>
      <w:r>
        <w:t>ADIsoTropicHyperViscoSwellingCreep</w:t>
      </w:r>
      <w:proofErr w:type="spellEnd"/>
      <w:r>
        <w:t xml:space="preserve">, </w:t>
      </w:r>
      <w:proofErr w:type="spellStart"/>
      <w:r>
        <w:t>ADIsotropicElasticSwelling</w:t>
      </w:r>
      <w:proofErr w:type="spellEnd"/>
    </w:p>
    <w:p w14:paraId="4D4F3C78" w14:textId="0377DDCC" w:rsidR="00837646" w:rsidRDefault="00837646" w:rsidP="00837646">
      <w:r>
        <w:t>Case 1 (Elastic Swelling): Works; concentration changes now visible with adjusted values (e.g., 1e-3 instead of 1e-14).</w:t>
      </w:r>
    </w:p>
    <w:p w14:paraId="02B28B7F" w14:textId="2884A07F" w:rsidR="00837646" w:rsidRDefault="00837646" w:rsidP="00837646">
      <w:r>
        <w:t>Case 2 (Elastic-Visco): Areal and fiber swelling show distinct mechanical behavior.</w:t>
      </w:r>
    </w:p>
    <w:p w14:paraId="169E3452" w14:textId="77777777" w:rsidR="00837646" w:rsidRDefault="00837646" w:rsidP="00837646">
      <w:r>
        <w:t>Benchmark 3: Confined Growth</w:t>
      </w:r>
    </w:p>
    <w:p w14:paraId="065ED356" w14:textId="030DE342" w:rsidR="00837646" w:rsidRDefault="00837646" w:rsidP="00837646">
      <w:r>
        <w:t>Materials:</w:t>
      </w:r>
    </w:p>
    <w:p w14:paraId="2CE1A550" w14:textId="46D41A84" w:rsidR="00837646" w:rsidRDefault="00837646" w:rsidP="00837646">
      <w:proofErr w:type="spellStart"/>
      <w:r>
        <w:t>ADIsoTropicHyperViscoCreep</w:t>
      </w:r>
      <w:proofErr w:type="spellEnd"/>
    </w:p>
    <w:p w14:paraId="108A8AE3" w14:textId="520A14FE" w:rsidR="00837646" w:rsidRDefault="00837646" w:rsidP="00837646">
      <w:proofErr w:type="spellStart"/>
      <w:r>
        <w:t>ADIsoTropicHyperViscoSwellingCreep</w:t>
      </w:r>
      <w:proofErr w:type="spellEnd"/>
    </w:p>
    <w:p w14:paraId="2DFEEE06" w14:textId="77777777" w:rsidR="00837646" w:rsidRDefault="00837646" w:rsidP="00837646">
      <w:r>
        <w:t>Both materials give similar results; unclear why—further inspection needed.</w:t>
      </w:r>
    </w:p>
    <w:p w14:paraId="37F2BBA6" w14:textId="67D43959" w:rsidR="00837646" w:rsidRDefault="00837646" w:rsidP="00837646">
      <w:r>
        <w:t>Diffusion-coupled version: Not functional.</w:t>
      </w:r>
    </w:p>
    <w:p w14:paraId="7615AA57" w14:textId="77777777" w:rsidR="00837646" w:rsidRDefault="00837646" w:rsidP="00837646">
      <w:r>
        <w:t>Benchmark 4: Contact Growth with Diffusion</w:t>
      </w:r>
    </w:p>
    <w:p w14:paraId="6FE74FAD" w14:textId="1CECD3C6" w:rsidR="00A65C0B" w:rsidRDefault="00837646" w:rsidP="00837646">
      <w:r>
        <w:t>Issue:</w:t>
      </w:r>
      <w:r>
        <w:t xml:space="preserve"> We can run the simulation but there is some convergence still there. Further debugging is still needed. </w:t>
      </w:r>
    </w:p>
    <w:p w14:paraId="444B6982" w14:textId="77777777" w:rsidR="008C3541" w:rsidRDefault="008C3541" w:rsidP="00837646"/>
    <w:p w14:paraId="6551CDE8" w14:textId="77777777" w:rsidR="008C3541" w:rsidRDefault="008C3541" w:rsidP="00837646"/>
    <w:p w14:paraId="738F98F9" w14:textId="77777777" w:rsidR="008C3541" w:rsidRDefault="008C3541" w:rsidP="00837646"/>
    <w:p w14:paraId="16FC5E58" w14:textId="77777777" w:rsidR="008C3541" w:rsidRDefault="008C3541" w:rsidP="00837646"/>
    <w:p w14:paraId="4A4791A6" w14:textId="77777777" w:rsidR="008C3541" w:rsidRDefault="008C3541" w:rsidP="00837646"/>
    <w:p w14:paraId="665F021B" w14:textId="77777777" w:rsidR="008C3541" w:rsidRDefault="008C3541" w:rsidP="00837646"/>
    <w:p w14:paraId="78AF2E90" w14:textId="77777777" w:rsidR="008C3541" w:rsidRDefault="008C3541" w:rsidP="00837646"/>
    <w:p w14:paraId="01A51611" w14:textId="77777777" w:rsidR="008C3541" w:rsidRDefault="008C3541" w:rsidP="00837646"/>
    <w:p w14:paraId="52F8CF00" w14:textId="77777777" w:rsidR="00280420" w:rsidRPr="00280420" w:rsidRDefault="00D00ADC" w:rsidP="00280420">
      <w:r>
        <w:lastRenderedPageBreak/>
        <w:t xml:space="preserve">EEL Package </w:t>
      </w:r>
      <w:r w:rsidR="008C3541">
        <w:t>Dimensionless</w:t>
      </w:r>
      <w:r w:rsidR="008C3541">
        <w:br/>
      </w:r>
      <w:r w:rsidR="00280420" w:rsidRPr="00280420">
        <w:t>Due to significant discrepancies in material parameters—such as ionic conductivity and diffusivity—across different compartments of a solid-state battery, numerical convergence issues may arise, potentially leading to inaccurate predictions of the electro-chemo-thermal behavior of the system. To address these challenges, we have reformulated the EEL-package source code into a dimensionless form. Since the package is fundamentally based on the variational derivative of the Helmholtz free energy to compute physical driving forces—such as thermodynamic force, heat flux, mass flux, current flux, and interfacial reaction flux—we implemented a scaling procedure to nondimensionalize these quantities. The modified source files are named with the suffix _scaled, indicating their dimensionless formulation within the EEL package.</w:t>
      </w:r>
    </w:p>
    <w:p w14:paraId="65A0DC63" w14:textId="2E2A26D7" w:rsidR="00B71F20" w:rsidRDefault="00B71F20" w:rsidP="00280420">
      <w:r>
        <w:t xml:space="preserve">For example: </w:t>
      </w:r>
    </w:p>
    <w:p w14:paraId="6C15EFC1" w14:textId="56C5A064" w:rsidR="008C3541" w:rsidRDefault="00D00ADC" w:rsidP="00837646">
      <w:pPr>
        <w:rPr>
          <w:rFonts w:eastAsiaTheme="minorEastAsia"/>
        </w:rPr>
      </w:pPr>
      <w:r>
        <w:t>Bulk charge transport</w:t>
      </w:r>
      <w:r w:rsidR="00B71F20">
        <w:t xml:space="preserve"> energy=  </w:t>
      </w:r>
      <m:oMath>
        <m:r>
          <w:rPr>
            <w:rFonts w:ascii="Cambria Math" w:eastAsiaTheme="minorEastAsia" w:hAnsi="Cambria Math"/>
          </w:rPr>
          <m:t>0.5*</m:t>
        </m:r>
        <m:r>
          <m:rPr>
            <m:sty m:val="p"/>
          </m:rPr>
          <w:rPr>
            <w:rFonts w:ascii="Cambria Math" w:hAnsi="Cambria Math"/>
          </w:rPr>
          <m:t>∇</m:t>
        </m:r>
        <m:r>
          <m:rPr>
            <m:sty m:val="p"/>
          </m:rPr>
          <w:rPr>
            <w:rFonts w:ascii="Cambria Math" w:hAnsi="Cambria Math"/>
          </w:rPr>
          <m:t>Φ</m:t>
        </m:r>
        <m:r>
          <w:rPr>
            <w:rFonts w:ascii="Cambria Math" w:hAnsi="Cambria Math"/>
          </w:rPr>
          <m:t>*M</m:t>
        </m:r>
        <m:r>
          <m:rPr>
            <m:sty m:val="p"/>
          </m:rPr>
          <w:rPr>
            <w:rFonts w:ascii="Cambria Math" w:hAnsi="Cambria Math"/>
          </w:rPr>
          <m:t>∇</m:t>
        </m:r>
        <m:r>
          <m:rPr>
            <m:sty m:val="p"/>
          </m:rPr>
          <w:rPr>
            <w:rFonts w:ascii="Cambria Math" w:hAnsi="Cambria Math"/>
          </w:rPr>
          <m:t>Φ</m:t>
        </m:r>
      </m:oMath>
    </w:p>
    <w:p w14:paraId="7A6A2F0A" w14:textId="6AAF4B17" w:rsidR="00B71F20" w:rsidRDefault="00B71F20" w:rsidP="00837646">
      <w:pPr>
        <w:rPr>
          <w:rFonts w:eastAsiaTheme="minorEastAsia"/>
        </w:rPr>
      </w:pPr>
      <w:proofErr w:type="gramStart"/>
      <w:r>
        <w:rPr>
          <w:rFonts w:eastAsiaTheme="minorEastAsia"/>
        </w:rPr>
        <w:t>So</w:t>
      </w:r>
      <w:proofErr w:type="gramEnd"/>
      <w:r>
        <w:rPr>
          <w:rFonts w:eastAsiaTheme="minorEastAsia"/>
        </w:rPr>
        <w:t xml:space="preserve"> we introduced the dimensionless parameters </w:t>
      </w:r>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0</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p>
    <w:p w14:paraId="35026BFB" w14:textId="6A598BA4" w:rsidR="00B71F20" w:rsidRDefault="00B71F20" w:rsidP="00837646">
      <w:pPr>
        <w:rPr>
          <w:rFonts w:eastAsiaTheme="minorEastAsia"/>
        </w:rPr>
      </w:pPr>
      <w:r>
        <w:rPr>
          <w:rFonts w:eastAsiaTheme="minorEastAsia"/>
        </w:rPr>
        <w:t>It becomes:</w:t>
      </w:r>
    </w:p>
    <w:p w14:paraId="4B533A81" w14:textId="5332BBE3" w:rsidR="00B71F20" w:rsidRDefault="00D00ADC" w:rsidP="00837646">
      <w:pPr>
        <w:rPr>
          <w:rFonts w:eastAsiaTheme="minorEastAsia"/>
        </w:rPr>
      </w:pPr>
      <w:r>
        <w:rPr>
          <w:rFonts w:eastAsiaTheme="minorEastAsia"/>
        </w:rPr>
        <w:t>Bulk Charge Transport</w:t>
      </w:r>
      <w:r w:rsidR="00B71F20">
        <w:rPr>
          <w:rFonts w:eastAsiaTheme="minorEastAsia"/>
        </w:rPr>
        <w:t xml:space="preserve"> </w:t>
      </w:r>
      <w:r>
        <w:rPr>
          <w:rFonts w:eastAsiaTheme="minorEastAsia"/>
        </w:rPr>
        <w:t>E</w:t>
      </w:r>
      <w:r w:rsidR="00B71F20">
        <w:rPr>
          <w:rFonts w:eastAsiaTheme="minorEastAsia"/>
        </w:rPr>
        <w:t xml:space="preserve">nergy </w:t>
      </w:r>
      <w:r>
        <w:rPr>
          <w:rFonts w:eastAsiaTheme="minorEastAsia"/>
        </w:rPr>
        <w:t>S</w:t>
      </w:r>
      <w:r w:rsidR="00B71F20">
        <w:rPr>
          <w:rFonts w:eastAsiaTheme="minorEastAsia"/>
        </w:rPr>
        <w:t>caled:</w:t>
      </w:r>
    </w:p>
    <w:p w14:paraId="54FE89DE" w14:textId="1EBBF155" w:rsidR="00B71F20" w:rsidRDefault="00D00ADC" w:rsidP="00D00ADC">
      <w:pPr>
        <w:ind w:firstLine="720"/>
        <w:rPr>
          <w:rFonts w:eastAsiaTheme="minorEastAsia"/>
        </w:rPr>
      </w:pPr>
      <w:r>
        <w:rPr>
          <w:rFonts w:eastAsiaTheme="minorEastAsia"/>
        </w:rPr>
        <w:t>=</w:t>
      </w:r>
      <m:oMath>
        <m:r>
          <w:rPr>
            <w:rFonts w:ascii="Cambria Math" w:eastAsiaTheme="minorEastAsia" w:hAnsi="Cambria Math"/>
          </w:rPr>
          <m:t>0.5*</m:t>
        </m:r>
        <m:f>
          <m:fPr>
            <m:ctrlPr>
              <w:rPr>
                <w:rFonts w:ascii="Cambria Math" w:hAnsi="Cambria Math"/>
                <w:i/>
              </w:rPr>
            </m:ctrlPr>
          </m:fPr>
          <m:num>
            <m:sSubSup>
              <m:sSubSupPr>
                <m:ctrlPr>
                  <w:rPr>
                    <w:rFonts w:ascii="Cambria Math" w:hAnsi="Cambria Math"/>
                    <w:i/>
                  </w:rPr>
                </m:ctrlPr>
              </m:sSubSupPr>
              <m:e>
                <m:r>
                  <m:rPr>
                    <m:sty m:val="p"/>
                  </m:rPr>
                  <w:rPr>
                    <w:rFonts w:ascii="Cambria Math" w:eastAsiaTheme="minorEastAsia" w:hAnsi="Cambria Math"/>
                  </w:rPr>
                  <m:t>Φ</m:t>
                </m:r>
                <m:ctrlPr>
                  <w:rPr>
                    <w:rFonts w:ascii="Cambria Math" w:eastAsiaTheme="minorEastAsia" w:hAnsi="Cambria Math"/>
                    <w:i/>
                  </w:rPr>
                </m:ctrlPr>
              </m:e>
              <m:sub>
                <m:r>
                  <w:rPr>
                    <w:rFonts w:ascii="Cambria Math" w:eastAsiaTheme="minorEastAsia" w:hAnsi="Cambria Math"/>
                  </w:rPr>
                  <m:t>0</m:t>
                </m:r>
                <m:ctrlPr>
                  <w:rPr>
                    <w:rFonts w:ascii="Cambria Math" w:eastAsiaTheme="minorEastAsia" w:hAnsi="Cambria Math"/>
                    <w:i/>
                  </w:rPr>
                </m:ctrlPr>
              </m:sub>
              <m:sup>
                <m:r>
                  <w:rPr>
                    <w:rFonts w:ascii="Cambria Math" w:hAnsi="Cambria Math"/>
                  </w:rPr>
                  <m:t>2</m:t>
                </m:r>
              </m:sup>
            </m:sSubSup>
            <m:ctrlPr>
              <w:rPr>
                <w:rFonts w:ascii="Cambria Math" w:eastAsiaTheme="minorEastAsia" w:hAnsi="Cambria Math"/>
                <w:i/>
              </w:rPr>
            </m:ctrlPr>
          </m:num>
          <m:den>
            <m:sSubSup>
              <m:sSubSupPr>
                <m:ctrlPr>
                  <w:rPr>
                    <w:rFonts w:ascii="Cambria Math" w:hAnsi="Cambria Math"/>
                    <w:i/>
                  </w:rPr>
                </m:ctrlPr>
              </m:sSubSupPr>
              <m:e>
                <m:r>
                  <w:rPr>
                    <w:rFonts w:ascii="Cambria Math" w:hAnsi="Cambria Math"/>
                  </w:rPr>
                  <m:t>L</m:t>
                </m:r>
              </m:e>
              <m:sub>
                <m:r>
                  <w:rPr>
                    <w:rFonts w:ascii="Cambria Math" w:hAnsi="Cambria Math"/>
                  </w:rPr>
                  <m:t>0</m:t>
                </m:r>
              </m:sub>
              <m:sup>
                <m:r>
                  <w:rPr>
                    <w:rFonts w:ascii="Cambria Math" w:hAnsi="Cambria Math"/>
                  </w:rPr>
                  <m:t>2</m:t>
                </m:r>
              </m:sup>
            </m:sSubSup>
          </m:den>
        </m:f>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sup>
        </m:sSup>
      </m:oMath>
    </w:p>
    <w:p w14:paraId="5A79AC62" w14:textId="7AD04C3C" w:rsidR="00B71F20" w:rsidRDefault="00D00ADC" w:rsidP="00837646">
      <w:pPr>
        <w:rPr>
          <w:rFonts w:eastAsiaTheme="minorEastAsia"/>
        </w:rPr>
      </w:pPr>
      <w:r>
        <w:rPr>
          <w:rFonts w:eastAsiaTheme="minorEastAsia"/>
        </w:rPr>
        <w:t xml:space="preserve">Where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1</m:t>
            </m:r>
            <m:ctrlPr>
              <w:rPr>
                <w:rFonts w:ascii="Cambria Math" w:eastAsiaTheme="minorEastAsia" w:hAnsi="Cambria Math"/>
              </w:rPr>
            </m:ctrlP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den>
        </m:f>
        <m:r>
          <m:rPr>
            <m:sty m:val="p"/>
          </m:rPr>
          <w:rPr>
            <w:rFonts w:ascii="Cambria Math" w:eastAsiaTheme="minorEastAsia" w:hAnsi="Cambria Math"/>
          </w:rPr>
          <m:t>∇</m:t>
        </m:r>
      </m:oMath>
      <w:r>
        <w:rPr>
          <w:rFonts w:eastAsiaTheme="minorEastAsia"/>
        </w:rPr>
        <w:t xml:space="preserve"> and </w:t>
      </w:r>
      <m:oMath>
        <m:sSup>
          <m:sSupPr>
            <m:ctrlPr>
              <w:rPr>
                <w:rFonts w:ascii="Cambria Math" w:eastAsiaTheme="minorEastAsia" w:hAnsi="Cambria Math"/>
                <w:i/>
              </w:rPr>
            </m:ctrlPr>
          </m:sSupPr>
          <m:e>
            <m:r>
              <m:rPr>
                <m:sty m:val="p"/>
              </m:rPr>
              <w:rPr>
                <w:rFonts w:ascii="Cambria Math" w:eastAsiaTheme="minorEastAsia" w:hAnsi="Cambria Math"/>
              </w:rPr>
              <m:t>Φ</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w:t>
      </w:r>
      <m:oMath>
        <m:r>
          <m:rPr>
            <m:sty m:val="p"/>
          </m:rPr>
          <w:rPr>
            <w:rFonts w:ascii="Cambria Math" w:eastAsiaTheme="minorEastAsia" w:hAnsi="Cambria Math"/>
          </w:rPr>
          <m:t>Φ</m:t>
        </m:r>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0</m:t>
            </m:r>
          </m:sub>
        </m:sSub>
        <m:r>
          <w:rPr>
            <w:rFonts w:ascii="Cambria Math" w:eastAsiaTheme="minorEastAsia" w:hAnsi="Cambria Math"/>
          </w:rPr>
          <m:t xml:space="preserve"> </m:t>
        </m:r>
      </m:oMath>
      <w:r>
        <w:rPr>
          <w:rFonts w:eastAsiaTheme="minorEastAsia"/>
        </w:rPr>
        <w:t xml:space="preserve"> </w:t>
      </w:r>
    </w:p>
    <w:p w14:paraId="5CFFE21E" w14:textId="60D1E0B5" w:rsidR="00D00ADC" w:rsidRDefault="00D00ADC" w:rsidP="00837646">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σ</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exch</m:t>
                </m:r>
              </m:sub>
            </m:sSub>
          </m:den>
        </m:f>
      </m:oMath>
      <w:r w:rsidR="0039633D">
        <w:rPr>
          <w:rFonts w:eastAsiaTheme="minorEastAsia"/>
        </w:rPr>
        <w:t xml:space="preserve"> and </w:t>
      </w:r>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R*T</m:t>
            </m:r>
          </m:num>
          <m:den>
            <m:r>
              <w:rPr>
                <w:rFonts w:ascii="Cambria Math" w:eastAsiaTheme="minorEastAsia" w:hAnsi="Cambria Math"/>
              </w:rPr>
              <m:t>F</m:t>
            </m:r>
          </m:den>
        </m:f>
      </m:oMath>
      <w:r w:rsidR="0039633D">
        <w:rPr>
          <w:rFonts w:eastAsiaTheme="minorEastAsia"/>
        </w:rPr>
        <w:t xml:space="preserve"> </w:t>
      </w:r>
    </w:p>
    <w:p w14:paraId="4A3D8B8A" w14:textId="07E0A312" w:rsidR="00D00ADC" w:rsidRDefault="00D00ADC" w:rsidP="00837646">
      <w:r>
        <w:t>The same schemes were adopted for all the force modules.</w:t>
      </w:r>
    </w:p>
    <w:p w14:paraId="648E4B52" w14:textId="77777777" w:rsidR="008C3541" w:rsidRDefault="008C3541" w:rsidP="00837646"/>
    <w:sectPr w:rsidR="008C3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46"/>
    <w:rsid w:val="00280420"/>
    <w:rsid w:val="0039633D"/>
    <w:rsid w:val="005D3D2A"/>
    <w:rsid w:val="00837646"/>
    <w:rsid w:val="00894809"/>
    <w:rsid w:val="008C3541"/>
    <w:rsid w:val="00A65C0B"/>
    <w:rsid w:val="00AB1A0A"/>
    <w:rsid w:val="00B42304"/>
    <w:rsid w:val="00B71F20"/>
    <w:rsid w:val="00D00ADC"/>
    <w:rsid w:val="00ED4C27"/>
    <w:rsid w:val="00F64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8CC2"/>
  <w15:chartTrackingRefBased/>
  <w15:docId w15:val="{6488CAA6-0599-2245-9E56-56E1A8F5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646"/>
    <w:rPr>
      <w:rFonts w:eastAsiaTheme="majorEastAsia" w:cstheme="majorBidi"/>
      <w:color w:val="272727" w:themeColor="text1" w:themeTint="D8"/>
    </w:rPr>
  </w:style>
  <w:style w:type="paragraph" w:styleId="Title">
    <w:name w:val="Title"/>
    <w:basedOn w:val="Normal"/>
    <w:next w:val="Normal"/>
    <w:link w:val="TitleChar"/>
    <w:uiPriority w:val="10"/>
    <w:qFormat/>
    <w:rsid w:val="0083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646"/>
    <w:pPr>
      <w:spacing w:before="160"/>
      <w:jc w:val="center"/>
    </w:pPr>
    <w:rPr>
      <w:i/>
      <w:iCs/>
      <w:color w:val="404040" w:themeColor="text1" w:themeTint="BF"/>
    </w:rPr>
  </w:style>
  <w:style w:type="character" w:customStyle="1" w:styleId="QuoteChar">
    <w:name w:val="Quote Char"/>
    <w:basedOn w:val="DefaultParagraphFont"/>
    <w:link w:val="Quote"/>
    <w:uiPriority w:val="29"/>
    <w:rsid w:val="00837646"/>
    <w:rPr>
      <w:i/>
      <w:iCs/>
      <w:color w:val="404040" w:themeColor="text1" w:themeTint="BF"/>
    </w:rPr>
  </w:style>
  <w:style w:type="paragraph" w:styleId="ListParagraph">
    <w:name w:val="List Paragraph"/>
    <w:basedOn w:val="Normal"/>
    <w:uiPriority w:val="34"/>
    <w:qFormat/>
    <w:rsid w:val="00837646"/>
    <w:pPr>
      <w:ind w:left="720"/>
      <w:contextualSpacing/>
    </w:pPr>
  </w:style>
  <w:style w:type="character" w:styleId="IntenseEmphasis">
    <w:name w:val="Intense Emphasis"/>
    <w:basedOn w:val="DefaultParagraphFont"/>
    <w:uiPriority w:val="21"/>
    <w:qFormat/>
    <w:rsid w:val="00837646"/>
    <w:rPr>
      <w:i/>
      <w:iCs/>
      <w:color w:val="0F4761" w:themeColor="accent1" w:themeShade="BF"/>
    </w:rPr>
  </w:style>
  <w:style w:type="paragraph" w:styleId="IntenseQuote">
    <w:name w:val="Intense Quote"/>
    <w:basedOn w:val="Normal"/>
    <w:next w:val="Normal"/>
    <w:link w:val="IntenseQuoteChar"/>
    <w:uiPriority w:val="30"/>
    <w:qFormat/>
    <w:rsid w:val="00837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646"/>
    <w:rPr>
      <w:i/>
      <w:iCs/>
      <w:color w:val="0F4761" w:themeColor="accent1" w:themeShade="BF"/>
    </w:rPr>
  </w:style>
  <w:style w:type="character" w:styleId="IntenseReference">
    <w:name w:val="Intense Reference"/>
    <w:basedOn w:val="DefaultParagraphFont"/>
    <w:uiPriority w:val="32"/>
    <w:qFormat/>
    <w:rsid w:val="00837646"/>
    <w:rPr>
      <w:b/>
      <w:bCs/>
      <w:smallCaps/>
      <w:color w:val="0F4761" w:themeColor="accent1" w:themeShade="BF"/>
      <w:spacing w:val="5"/>
    </w:rPr>
  </w:style>
  <w:style w:type="character" w:styleId="PlaceholderText">
    <w:name w:val="Placeholder Text"/>
    <w:basedOn w:val="DefaultParagraphFont"/>
    <w:uiPriority w:val="99"/>
    <w:semiHidden/>
    <w:rsid w:val="00B71F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993952">
      <w:bodyDiv w:val="1"/>
      <w:marLeft w:val="0"/>
      <w:marRight w:val="0"/>
      <w:marTop w:val="0"/>
      <w:marBottom w:val="0"/>
      <w:divBdr>
        <w:top w:val="none" w:sz="0" w:space="0" w:color="auto"/>
        <w:left w:val="none" w:sz="0" w:space="0" w:color="auto"/>
        <w:bottom w:val="none" w:sz="0" w:space="0" w:color="auto"/>
        <w:right w:val="none" w:sz="0" w:space="0" w:color="auto"/>
      </w:divBdr>
    </w:div>
    <w:div w:id="1721204570">
      <w:bodyDiv w:val="1"/>
      <w:marLeft w:val="0"/>
      <w:marRight w:val="0"/>
      <w:marTop w:val="0"/>
      <w:marBottom w:val="0"/>
      <w:divBdr>
        <w:top w:val="none" w:sz="0" w:space="0" w:color="auto"/>
        <w:left w:val="none" w:sz="0" w:space="0" w:color="auto"/>
        <w:bottom w:val="none" w:sz="0" w:space="0" w:color="auto"/>
        <w:right w:val="none" w:sz="0" w:space="0" w:color="auto"/>
      </w:divBdr>
      <w:divsChild>
        <w:div w:id="1425608644">
          <w:marLeft w:val="0"/>
          <w:marRight w:val="0"/>
          <w:marTop w:val="0"/>
          <w:marBottom w:val="0"/>
          <w:divBdr>
            <w:top w:val="none" w:sz="0" w:space="0" w:color="auto"/>
            <w:left w:val="none" w:sz="0" w:space="0" w:color="auto"/>
            <w:bottom w:val="none" w:sz="0" w:space="0" w:color="auto"/>
            <w:right w:val="none" w:sz="0" w:space="0" w:color="auto"/>
          </w:divBdr>
          <w:divsChild>
            <w:div w:id="1514807921">
              <w:marLeft w:val="0"/>
              <w:marRight w:val="0"/>
              <w:marTop w:val="0"/>
              <w:marBottom w:val="0"/>
              <w:divBdr>
                <w:top w:val="none" w:sz="0" w:space="0" w:color="auto"/>
                <w:left w:val="none" w:sz="0" w:space="0" w:color="auto"/>
                <w:bottom w:val="none" w:sz="0" w:space="0" w:color="auto"/>
                <w:right w:val="none" w:sz="0" w:space="0" w:color="auto"/>
              </w:divBdr>
            </w:div>
            <w:div w:id="13119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0965">
      <w:bodyDiv w:val="1"/>
      <w:marLeft w:val="0"/>
      <w:marRight w:val="0"/>
      <w:marTop w:val="0"/>
      <w:marBottom w:val="0"/>
      <w:divBdr>
        <w:top w:val="none" w:sz="0" w:space="0" w:color="auto"/>
        <w:left w:val="none" w:sz="0" w:space="0" w:color="auto"/>
        <w:bottom w:val="none" w:sz="0" w:space="0" w:color="auto"/>
        <w:right w:val="none" w:sz="0" w:space="0" w:color="auto"/>
      </w:divBdr>
      <w:divsChild>
        <w:div w:id="1806044871">
          <w:marLeft w:val="0"/>
          <w:marRight w:val="0"/>
          <w:marTop w:val="0"/>
          <w:marBottom w:val="0"/>
          <w:divBdr>
            <w:top w:val="none" w:sz="0" w:space="0" w:color="auto"/>
            <w:left w:val="none" w:sz="0" w:space="0" w:color="auto"/>
            <w:bottom w:val="none" w:sz="0" w:space="0" w:color="auto"/>
            <w:right w:val="none" w:sz="0" w:space="0" w:color="auto"/>
          </w:divBdr>
          <w:divsChild>
            <w:div w:id="1704137215">
              <w:marLeft w:val="0"/>
              <w:marRight w:val="0"/>
              <w:marTop w:val="0"/>
              <w:marBottom w:val="0"/>
              <w:divBdr>
                <w:top w:val="none" w:sz="0" w:space="0" w:color="auto"/>
                <w:left w:val="none" w:sz="0" w:space="0" w:color="auto"/>
                <w:bottom w:val="none" w:sz="0" w:space="0" w:color="auto"/>
                <w:right w:val="none" w:sz="0" w:space="0" w:color="auto"/>
              </w:divBdr>
            </w:div>
            <w:div w:id="18728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Ashok</dc:creator>
  <cp:keywords/>
  <dc:description/>
  <cp:lastModifiedBy>Gurung, Ashok</cp:lastModifiedBy>
  <cp:revision>1</cp:revision>
  <dcterms:created xsi:type="dcterms:W3CDTF">2025-05-30T18:03:00Z</dcterms:created>
  <dcterms:modified xsi:type="dcterms:W3CDTF">2025-06-01T18:11:00Z</dcterms:modified>
</cp:coreProperties>
</file>