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27617" w14:textId="77777777" w:rsidR="003B6142" w:rsidRPr="006030F9" w:rsidRDefault="00F44F91">
      <w:pPr>
        <w:pStyle w:val="Title"/>
        <w:jc w:val="center"/>
      </w:pPr>
      <w:r w:rsidRPr="00F44F91">
        <w:rPr>
          <w:b/>
          <w:bCs/>
        </w:rPr>
        <w:t>Supply Chain Issues Review</w:t>
      </w:r>
    </w:p>
    <w:p w14:paraId="258FFDB4" w14:textId="77777777" w:rsidR="00F44F91" w:rsidRDefault="00F44F91">
      <w:pPr>
        <w:pStyle w:val="Subtitle"/>
        <w:jc w:val="center"/>
      </w:pPr>
      <w:r>
        <w:t>Business impact, priorities, and recommended actions</w:t>
      </w:r>
    </w:p>
    <w:p w14:paraId="30D55B4F" w14:textId="77777777" w:rsidR="00F44F91" w:rsidRDefault="00F44F91">
      <w:pPr>
        <w:pStyle w:val="Heading1"/>
        <w:rPr>
          <w:rFonts w:asciiTheme="minorHAnsi" w:hAnsiTheme="minorHAnsi" w:cstheme="minorBidi"/>
        </w:rPr>
      </w:pPr>
      <w:r>
        <w:rPr>
          <w:rFonts w:asciiTheme="minorHAnsi" w:hAnsiTheme="minorHAnsi" w:cstheme="minorBidi"/>
        </w:rPr>
        <w:t>Introduction</w:t>
      </w:r>
    </w:p>
    <w:p w14:paraId="2B02E046" w14:textId="77777777" w:rsidR="003B6142" w:rsidRPr="006030F9" w:rsidRDefault="00474C2A" w:rsidP="001A7335">
      <w:r w:rsidRPr="00474C2A">
        <w:t>Pharmaceutical manufacturing depends on a controlled, reliable, and well-documented supply chain to maintain product quality, production continuity, and regulatory compliance. This review examines critical supply chain disruptions that may affect the availability of qualified materials, supplier oversight, manufacturing schedules, and documentation integrity. Because these disruptions can create direct risks to FDA compliance, including potential impacts to current Good Manufacturing Practice expectations, timely assessment and coordinated mitigation are essential to protect patient safety, sustain product availability, and preserve inspection readiness.</w:t>
      </w:r>
    </w:p>
    <w:p w14:paraId="091E81BA" w14:textId="77777777" w:rsidR="00F44F91" w:rsidRDefault="00F44F91">
      <w:pPr>
        <w:pStyle w:val="Heading1"/>
        <w:rPr>
          <w:rFonts w:asciiTheme="minorHAnsi" w:hAnsiTheme="minorHAnsi" w:cstheme="minorBidi"/>
        </w:rPr>
      </w:pPr>
      <w:r>
        <w:rPr>
          <w:rFonts w:asciiTheme="minorHAnsi" w:hAnsiTheme="minorHAnsi" w:cstheme="minorBidi"/>
        </w:rPr>
        <w:t>Outline of the Business Problem</w:t>
      </w:r>
    </w:p>
    <w:p w14:paraId="24661015" w14:textId="77777777" w:rsidR="003B6142" w:rsidRPr="006030F9" w:rsidRDefault="008F435C" w:rsidP="00F6088A">
      <w:r w:rsidRPr="008F435C">
        <w:t>The current supply chain risk profile presents a direct threat to pharmaceutical manufacturing continuity, FDA compliance, and patient safety. The issues identified below affect core expectations of a controlled manufacturing environment, including material quality, supplier qualification, traceability, documentation integrity, batch consistency, and the ability to demonstrate that products meet required identity, strength, quality, and purity standards. If not addressed promptly, these failures may result in rejected batches, delayed release decisions, inspection findings, regulatory penalties, product shortages, or suspension of production activities.</w:t>
      </w:r>
    </w:p>
    <w:p w14:paraId="1F671EE4" w14:textId="77777777" w:rsidR="003B6142" w:rsidRPr="006030F9" w:rsidRDefault="001443BE" w:rsidP="0077694C">
      <w:r w:rsidRPr="001443BE">
        <w:rPr>
          <w:b/>
          <w:bCs/>
        </w:rPr>
        <w:t>BIND567 – Quality &amp; Stability Failures:</w:t>
      </w:r>
      <w:r w:rsidRPr="001443BE">
        <w:t xml:space="preserve"> BIND567 represents a high-severity quality risk because molecular inconsistencies, product instability, and unpredictable manufacturing reactions undermine the ability to produce a consistent and reliable pharmaceutical product. From an FDA compliance perspective, these conditions may compromise required quality attributes and create difficulty demonstrating that each batch meets approved specifications. Stability failures are especially critical because they can affect product potency, shelf life, and efficacy, increasing the likelihood of failed quality control, batch rejection, deviation investigations, and potential regulatory scrutiny. The impact on production timelines is significant: repeated defects can slow batch disposition, consume quality and manufacturing resources, trigger rework or disposal, and may ultimately require a production halt until root cause, corrective actions, and process controls are validated. For patients, the risk is direct and material; unstable or inconsistent product could fail to </w:t>
      </w:r>
      <w:r w:rsidRPr="001443BE">
        <w:lastRenderedPageBreak/>
        <w:t>deliver the intended therapeutic effect, creating potential safety concerns and undermining confidence in product reliability.</w:t>
      </w:r>
    </w:p>
    <w:p w14:paraId="742931F0" w14:textId="77777777" w:rsidR="001443BE" w:rsidRDefault="001443BE">
      <w:r>
        <w:rPr>
          <w:b/>
          <w:bCs/>
        </w:rPr>
        <w:t>COMP042 – Traceability &amp; Documentation Breakdown:</w:t>
      </w:r>
      <w:r>
        <w:t xml:space="preserve"> COMP042 indicates a breakdown in lot control, documentation completeness, and chain-of-custody verification. Incorrect lot numbers and missing records create a serious FDA compliance exposure because the organization may be unable to verify the origin, handling, release status, and movement of materials used in production. This weakens the integrity of the batch record and impairs the ability to investigate deviations, conduct recalls, support audits, or prove that only approved and controlled materials entered the manufacturing process. The production timeline impact includes delays in material release, extended quality review, blocked batches, and bottlenecks while teams reconcile documentation gaps or quarantine suspect materials. From a patient safety standpoint, poor traceability increases the risk that contaminated, mishandled, expired, or otherwise unsuitable materials could be used without timely detection. It also limits the company’s ability to identify affected lots quickly if a quality event occurs, increasing the potential scope and severity of patient impact.</w:t>
      </w:r>
    </w:p>
    <w:p w14:paraId="47C6F228" w14:textId="77777777" w:rsidR="001443BE" w:rsidRDefault="001443BE">
      <w:r>
        <w:rPr>
          <w:b/>
          <w:bCs/>
        </w:rPr>
        <w:t>COMP043 – Supplier GMP Non-Compliance:</w:t>
      </w:r>
      <w:r>
        <w:t xml:space="preserve"> COMP043 presents a systemic supplier risk involving failure to meet Good Manufacturing Practice expectations, delivery instability, and inconsistent material quality. Supplier GMP non-compliance directly threatens FDA compliance because impure batches, inadequate controls, weak quality systems, or unreliable documentation can compromise the manufacturer’s ability to ensure that incoming materials are suitable for pharmaceutical use. These failures may trigger supplier disqualification, additional incoming testing, deviation management, change control activity, and regulatory concern during inspection. Production timelines are also exposed because erratic deliveries and stockouts can interrupt manufacturing schedules, reduce available inventory buffers, and force planners to consider alternative sourcing under compressed timelines. If alternate suppliers are not fully qualified, this can introduce additional regulatory and quality risk. For patients, supplier non-compliance may lead to product quality defects, delayed availability of medicines, or increased risk of exposure to products manufactured with impure or poorly controlled materials.</w:t>
      </w:r>
    </w:p>
    <w:p w14:paraId="5907F6B0" w14:textId="77777777" w:rsidR="00F44F91" w:rsidRDefault="00F44F91">
      <w:pPr>
        <w:pStyle w:val="Heading1"/>
        <w:rPr>
          <w:rFonts w:asciiTheme="minorHAnsi" w:hAnsiTheme="minorHAnsi" w:cstheme="minorBidi"/>
        </w:rPr>
      </w:pPr>
      <w:r>
        <w:rPr>
          <w:rFonts w:asciiTheme="minorHAnsi" w:hAnsiTheme="minorHAnsi" w:cstheme="minorBidi"/>
        </w:rPr>
        <w:t>Action Items</w:t>
      </w:r>
    </w:p>
    <w:p w14:paraId="28E21FF5" w14:textId="77777777" w:rsidR="001443BE" w:rsidRDefault="001443BE" w:rsidP="001443BE">
      <w:pPr>
        <w:pStyle w:val="ListParagraph"/>
        <w:numPr>
          <w:ilvl w:val="0"/>
          <w:numId w:val="1"/>
        </w:numPr>
      </w:pPr>
      <w:r w:rsidRPr="001443BE">
        <w:rPr>
          <w:b/>
          <w:bCs/>
        </w:rPr>
        <w:t>Immediate batch validation (Critical – Now)</w:t>
      </w:r>
      <w:r>
        <w:br/>
      </w:r>
      <w:r w:rsidRPr="001443BE">
        <w:rPr>
          <w:b/>
          <w:bCs/>
        </w:rPr>
        <w:t>Responsible party:</w:t>
      </w:r>
      <w:r>
        <w:t xml:space="preserve"> Quality Assurance, Quality Control, and Manufacturing Operations.</w:t>
      </w:r>
      <w:r>
        <w:br/>
      </w:r>
      <w:r w:rsidRPr="001443BE">
        <w:rPr>
          <w:b/>
          <w:bCs/>
        </w:rPr>
        <w:t>Deadline:</w:t>
      </w:r>
      <w:r>
        <w:t xml:space="preserve"> Initiate immediately; complete testing and documented disposition before any further batch release or use.</w:t>
      </w:r>
      <w:r>
        <w:br/>
      </w:r>
      <w:r w:rsidRPr="001443BE">
        <w:rPr>
          <w:b/>
          <w:bCs/>
        </w:rPr>
        <w:lastRenderedPageBreak/>
        <w:t>Expected outcome:</w:t>
      </w:r>
      <w:r>
        <w:t xml:space="preserve"> Usage of affected materials and batches is halted until all current inventory, especially BIND567 and COMP043-related batches, is tested, assessed, and either cleared, quarantined, or rejected. This reduces immediate FDA compliance exposure and prevents potentially unstable, impure, or nonconforming product from reaching patients.</w:t>
      </w:r>
    </w:p>
    <w:p w14:paraId="05F0BAAC" w14:textId="77777777" w:rsidR="001443BE" w:rsidRDefault="001443BE" w:rsidP="001443BE">
      <w:pPr>
        <w:pStyle w:val="ListParagraph"/>
        <w:numPr>
          <w:ilvl w:val="0"/>
          <w:numId w:val="1"/>
        </w:numPr>
      </w:pPr>
      <w:r>
        <w:rPr>
          <w:b/>
          <w:bCs/>
        </w:rPr>
        <w:t>Stop-gap supplier control (Critical – Now)</w:t>
      </w:r>
      <w:r>
        <w:br/>
      </w:r>
      <w:r>
        <w:rPr>
          <w:b/>
          <w:bCs/>
        </w:rPr>
        <w:t>Responsible party:</w:t>
      </w:r>
      <w:r>
        <w:t xml:space="preserve"> Procurement, Supplier Quality, Quality Assurance, and Regulatory Affairs.</w:t>
      </w:r>
      <w:r>
        <w:br/>
      </w:r>
      <w:r>
        <w:rPr>
          <w:b/>
          <w:bCs/>
        </w:rPr>
        <w:t>Deadline:</w:t>
      </w:r>
      <w:r>
        <w:t xml:space="preserve"> Implement suspension and emergency sourcing controls immediately; complete interim supplier risk review within 48 hours.</w:t>
      </w:r>
      <w:r>
        <w:br/>
      </w:r>
      <w:r>
        <w:rPr>
          <w:b/>
          <w:bCs/>
        </w:rPr>
        <w:t>Expected outcome:</w:t>
      </w:r>
      <w:r>
        <w:t xml:space="preserve"> Non-compliant suppliers linked to COMP043 are suspended from further supply until acceptable GMP status is confirmed. Emergency sourcing controls are applied to prevent unqualified substitutions, reduce stockout risk, and maintain production continuity without compromising FDA compliance.</w:t>
      </w:r>
    </w:p>
    <w:p w14:paraId="7F360297" w14:textId="77777777" w:rsidR="001443BE" w:rsidRDefault="001443BE" w:rsidP="001443BE">
      <w:pPr>
        <w:pStyle w:val="ListParagraph"/>
        <w:numPr>
          <w:ilvl w:val="0"/>
          <w:numId w:val="1"/>
        </w:numPr>
      </w:pPr>
      <w:r>
        <w:rPr>
          <w:b/>
          <w:bCs/>
        </w:rPr>
        <w:t>Establish full traceability for COMP042 (High – Immediate)</w:t>
      </w:r>
      <w:r>
        <w:br/>
      </w:r>
      <w:r>
        <w:rPr>
          <w:b/>
          <w:bCs/>
        </w:rPr>
        <w:t>Responsible party:</w:t>
      </w:r>
      <w:r>
        <w:t xml:space="preserve"> Quality Assurance, Documentation Control, Warehouse Operations, and Supply Chain Planning.</w:t>
      </w:r>
      <w:r>
        <w:br/>
      </w:r>
      <w:r>
        <w:rPr>
          <w:b/>
          <w:bCs/>
        </w:rPr>
        <w:t>Deadline:</w:t>
      </w:r>
      <w:r>
        <w:t xml:space="preserve"> Complete lot reconstruction and documentation reconciliation before any further use of affected materials; provide daily status updates until closure.</w:t>
      </w:r>
      <w:r>
        <w:br/>
      </w:r>
      <w:r>
        <w:rPr>
          <w:b/>
          <w:bCs/>
        </w:rPr>
        <w:t>Expected outcome:</w:t>
      </w:r>
      <w:r>
        <w:t xml:space="preserve"> Lot tracking, chain-of-custody records, and missing documentation are reconstructed and verified. Materials without acceptable traceability are quarantined, preventing use of unverifiable inventory and restoring the documentation integrity required for FDA inspection readiness.</w:t>
      </w:r>
    </w:p>
    <w:p w14:paraId="560E5E34" w14:textId="77777777" w:rsidR="001443BE" w:rsidRDefault="001443BE" w:rsidP="001443BE">
      <w:pPr>
        <w:pStyle w:val="ListParagraph"/>
        <w:numPr>
          <w:ilvl w:val="0"/>
          <w:numId w:val="1"/>
        </w:numPr>
      </w:pPr>
      <w:r>
        <w:rPr>
          <w:b/>
          <w:bCs/>
        </w:rPr>
        <w:t>Cross-functional emergency task force (High – Immediate)</w:t>
      </w:r>
      <w:r>
        <w:br/>
      </w:r>
      <w:r>
        <w:rPr>
          <w:b/>
          <w:bCs/>
        </w:rPr>
        <w:t>Responsible party:</w:t>
      </w:r>
      <w:r>
        <w:t xml:space="preserve"> Executive sponsor with leads from QA, Regulatory, Procurement, Manufacturing, and Supply Chain.</w:t>
      </w:r>
      <w:r>
        <w:br/>
      </w:r>
      <w:r>
        <w:rPr>
          <w:b/>
          <w:bCs/>
        </w:rPr>
        <w:t>Deadline:</w:t>
      </w:r>
      <w:r>
        <w:t xml:space="preserve"> Convene within 24 hours and maintain daily governance until critical risks are contained.</w:t>
      </w:r>
      <w:r>
        <w:br/>
      </w:r>
      <w:r>
        <w:rPr>
          <w:b/>
          <w:bCs/>
        </w:rPr>
        <w:t>Expected outcome:</w:t>
      </w:r>
      <w:r>
        <w:t xml:space="preserve"> A single coordinated response structure is established to manage decisions, escalation, batch status, supplier actions, regulatory considerations, and communication. This improves speed, accountability, and consistency across compliance, production, and patient safety priorities.</w:t>
      </w:r>
    </w:p>
    <w:p w14:paraId="0040DAC5" w14:textId="77777777" w:rsidR="001443BE" w:rsidRDefault="001443BE" w:rsidP="001443BE">
      <w:pPr>
        <w:pStyle w:val="ListParagraph"/>
        <w:numPr>
          <w:ilvl w:val="0"/>
          <w:numId w:val="1"/>
        </w:numPr>
      </w:pPr>
      <w:r>
        <w:rPr>
          <w:b/>
          <w:bCs/>
        </w:rPr>
        <w:t>Supplier audit &amp; qualification program (High – Short-term)</w:t>
      </w:r>
      <w:r>
        <w:br/>
      </w:r>
      <w:r>
        <w:rPr>
          <w:b/>
          <w:bCs/>
        </w:rPr>
        <w:t>Responsible party:</w:t>
      </w:r>
      <w:r>
        <w:t xml:space="preserve"> Supplier Quality, Quality Assurance, Procurement, and Regulatory Affairs.</w:t>
      </w:r>
      <w:r>
        <w:br/>
      </w:r>
      <w:r>
        <w:rPr>
          <w:b/>
          <w:bCs/>
        </w:rPr>
        <w:t>Deadline:</w:t>
      </w:r>
      <w:r>
        <w:t xml:space="preserve"> Launch audit plan within 5 business days; complete priority GMP audits and backup supplier qualification plan within 30 days.</w:t>
      </w:r>
      <w:r>
        <w:br/>
      </w:r>
      <w:r>
        <w:rPr>
          <w:b/>
          <w:bCs/>
        </w:rPr>
        <w:t>Expected outcome:</w:t>
      </w:r>
      <w:r>
        <w:t xml:space="preserve"> GMP audits are performed for high-risk suppliers, corrective </w:t>
      </w:r>
      <w:r>
        <w:lastRenderedPageBreak/>
        <w:t>actions are enforced, and qualified backup suppliers are identified. This strengthens long-term supply resilience, reduces dependence on unreliable suppliers, and supports sustained compliance with pharmaceutical quality expectations.</w:t>
      </w:r>
    </w:p>
    <w:p w14:paraId="3057AB9B" w14:textId="77777777" w:rsidR="00F44F91" w:rsidRDefault="00F44F91">
      <w:pPr>
        <w:pStyle w:val="Heading1"/>
        <w:rPr>
          <w:rFonts w:asciiTheme="minorHAnsi" w:hAnsiTheme="minorHAnsi" w:cstheme="minorBidi"/>
        </w:rPr>
      </w:pPr>
      <w:r>
        <w:rPr>
          <w:rFonts w:asciiTheme="minorHAnsi" w:hAnsiTheme="minorHAnsi" w:cstheme="minorBidi"/>
        </w:rPr>
        <w:t>Conclusion</w:t>
      </w:r>
    </w:p>
    <w:p w14:paraId="304757D1" w14:textId="77777777" w:rsidR="003B6142" w:rsidRPr="006030F9" w:rsidRDefault="0088618A" w:rsidP="00EB276A">
      <w:r w:rsidRPr="0088618A">
        <w:t>The identified supply chain issues present an urgent risk to FDA compliance, production continuity, and patient safety. Immediate cross-functional action is required to contain affected batches, restore traceability, control supplier risk, and maintain inspection readiness. Follow-up activities, ownership, deadlines, and outcomes will be tracked through the action plan to ensure timely closure and sustained accountability.</w:t>
      </w:r>
    </w:p>
    <w:p w14:paraId="0B38F76E" w14:textId="77777777" w:rsidR="003B6142" w:rsidRPr="006030F9" w:rsidRDefault="003B6142" w:rsidP="006030F9"/>
    <w:sectPr w:rsidR="003B6142" w:rsidRPr="006030F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014E56"/>
    <w:multiLevelType w:val="multilevel"/>
    <w:tmpl w:val="14DC8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CF2C31"/>
    <w:multiLevelType w:val="multilevel"/>
    <w:tmpl w:val="D7AEB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2049516">
    <w:abstractNumId w:val="1"/>
  </w:num>
  <w:num w:numId="2" w16cid:durableId="1696879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0F9"/>
    <w:rsid w:val="001443BE"/>
    <w:rsid w:val="003B6142"/>
    <w:rsid w:val="00474C2A"/>
    <w:rsid w:val="006030F9"/>
    <w:rsid w:val="006C1EFD"/>
    <w:rsid w:val="007718E1"/>
    <w:rsid w:val="0088618A"/>
    <w:rsid w:val="008F435C"/>
    <w:rsid w:val="00E854A5"/>
    <w:rsid w:val="00F44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B032F"/>
  <w15:chartTrackingRefBased/>
  <w15:docId w15:val="{77B399D7-F6AF-4FFD-A195-5EC8CB200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0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30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30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30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0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0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0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0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0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0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30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30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30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0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0F9"/>
    <w:rPr>
      <w:rFonts w:eastAsiaTheme="majorEastAsia" w:cstheme="majorBidi"/>
      <w:color w:val="272727" w:themeColor="text1" w:themeTint="D8"/>
    </w:rPr>
  </w:style>
  <w:style w:type="paragraph" w:styleId="Title">
    <w:name w:val="Title"/>
    <w:basedOn w:val="Normal"/>
    <w:next w:val="Normal"/>
    <w:link w:val="TitleChar"/>
    <w:uiPriority w:val="10"/>
    <w:qFormat/>
    <w:rsid w:val="00603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0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0F9"/>
    <w:pPr>
      <w:spacing w:before="160"/>
      <w:jc w:val="center"/>
    </w:pPr>
    <w:rPr>
      <w:i/>
      <w:iCs/>
      <w:color w:val="404040" w:themeColor="text1" w:themeTint="BF"/>
    </w:rPr>
  </w:style>
  <w:style w:type="character" w:customStyle="1" w:styleId="QuoteChar">
    <w:name w:val="Quote Char"/>
    <w:basedOn w:val="DefaultParagraphFont"/>
    <w:link w:val="Quote"/>
    <w:uiPriority w:val="29"/>
    <w:rsid w:val="006030F9"/>
    <w:rPr>
      <w:i/>
      <w:iCs/>
      <w:color w:val="404040" w:themeColor="text1" w:themeTint="BF"/>
    </w:rPr>
  </w:style>
  <w:style w:type="paragraph" w:styleId="ListParagraph">
    <w:name w:val="List Paragraph"/>
    <w:basedOn w:val="Normal"/>
    <w:uiPriority w:val="34"/>
    <w:qFormat/>
    <w:rsid w:val="006030F9"/>
    <w:pPr>
      <w:ind w:left="720"/>
      <w:contextualSpacing/>
    </w:pPr>
  </w:style>
  <w:style w:type="character" w:styleId="IntenseEmphasis">
    <w:name w:val="Intense Emphasis"/>
    <w:basedOn w:val="DefaultParagraphFont"/>
    <w:uiPriority w:val="21"/>
    <w:qFormat/>
    <w:rsid w:val="006030F9"/>
    <w:rPr>
      <w:i/>
      <w:iCs/>
      <w:color w:val="0F4761" w:themeColor="accent1" w:themeShade="BF"/>
    </w:rPr>
  </w:style>
  <w:style w:type="paragraph" w:styleId="IntenseQuote">
    <w:name w:val="Intense Quote"/>
    <w:basedOn w:val="Normal"/>
    <w:next w:val="Normal"/>
    <w:link w:val="IntenseQuoteChar"/>
    <w:uiPriority w:val="30"/>
    <w:qFormat/>
    <w:rsid w:val="00603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0F9"/>
    <w:rPr>
      <w:i/>
      <w:iCs/>
      <w:color w:val="0F4761" w:themeColor="accent1" w:themeShade="BF"/>
    </w:rPr>
  </w:style>
  <w:style w:type="character" w:styleId="IntenseReference">
    <w:name w:val="Intense Reference"/>
    <w:basedOn w:val="DefaultParagraphFont"/>
    <w:uiPriority w:val="32"/>
    <w:qFormat/>
    <w:rsid w:val="006030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ca48ea3-8c75-4d36-b64f-70604b11fd22}" enabled="1" method="Standard" siteId="{3ac94b33-9135-4821-9502-eafda6592a35}"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4</Pages>
  <Words>1253</Words>
  <Characters>7157</Characters>
  <Application>Microsoft Office Word</Application>
  <DocSecurity>0</DocSecurity>
  <Lines>119</Lines>
  <Paragraphs>35</Paragraphs>
  <ScaleCrop>false</ScaleCrop>
  <Company>JNJ</Company>
  <LinksUpToDate>false</LinksUpToDate>
  <CharactersWithSpaces>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Castro de matos, Esron [CONBR]</dc:creator>
  <cp:keywords/>
  <dc:description/>
  <cp:lastModifiedBy>Castro de matos, Esron [CONBR]</cp:lastModifiedBy>
  <cp:revision>1</cp:revision>
  <dcterms:created xsi:type="dcterms:W3CDTF">2026-06-30T22:08:00Z</dcterms:created>
  <dcterms:modified xsi:type="dcterms:W3CDTF">2026-06-30T22:21:00Z</dcterms:modified>
</cp:coreProperties>
</file>