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A4B3F" w14:textId="77777777" w:rsidR="003B6142" w:rsidRDefault="00601A3B">
      <w:pPr>
        <w:pStyle w:val="Heading1"/>
        <w:rPr>
          <w:rFonts w:asciiTheme="minorHAnsi" w:hAnsiTheme="minorHAnsi" w:cstheme="minorBidi"/>
        </w:rPr>
      </w:pPr>
      <w:r w:rsidRPr="00601A3B">
        <w:rPr>
          <w:rFonts w:asciiTheme="minorHAnsi" w:hAnsiTheme="minorHAnsi" w:cstheme="minorBidi"/>
        </w:rPr>
        <w:t>Supply Chain Issue Analysis Report</w:t>
      </w:r>
    </w:p>
    <w:p w14:paraId="0E59CCF1" w14:textId="77777777" w:rsidR="00601A3B" w:rsidRDefault="00601A3B">
      <w:pPr>
        <w:pStyle w:val="Heading2"/>
        <w:rPr>
          <w:rFonts w:asciiTheme="minorHAnsi" w:hAnsiTheme="minorHAnsi" w:cstheme="minorBidi"/>
        </w:rPr>
      </w:pPr>
      <w:r>
        <w:rPr>
          <w:rFonts w:asciiTheme="minorHAnsi" w:hAnsiTheme="minorHAnsi" w:cstheme="minorBidi"/>
        </w:rPr>
        <w:t>Executive Summary</w:t>
      </w:r>
    </w:p>
    <w:p w14:paraId="006611DB" w14:textId="77777777" w:rsidR="003B6142" w:rsidRDefault="00B409EE" w:rsidP="007E4501">
      <w:r w:rsidRPr="00B409EE">
        <w:t>The supply chain analysis identifies delivery delay exposure, component-level inconsistency, and compliance risk as the primary issues requiring management attention. Average delivery timelines vary by risk level in the Analysis worksheet: High-risk items average 11.25 days, Medium-risk items average 15.13 days, and Low-risk items average 12.86 days. This indicates that the longest average delay is currently associated with Medium-risk components, suggesting that risk classification alone does not fully capture delivery exposure and should be reviewed alongside supplier and component performance indicators.</w:t>
      </w:r>
    </w:p>
    <w:p w14:paraId="7FD5AF07" w14:textId="77777777" w:rsidR="003B6142" w:rsidRDefault="00E05F39" w:rsidP="00EA5EA7">
      <w:r w:rsidRPr="00E05F39">
        <w:t xml:space="preserve">The worst-performing components include COAT890, CARB123, BIND567, COMP042, and COMP043. COAT890 has the weakest on-time delivery performance among the highlighted components at 84.20% across five records, indicating recurring service reliability concerns. CARB123 averages 90.25% </w:t>
      </w:r>
      <w:proofErr w:type="gramStart"/>
      <w:r w:rsidRPr="00E05F39">
        <w:t>on-time</w:t>
      </w:r>
      <w:proofErr w:type="gramEnd"/>
      <w:r w:rsidRPr="00E05F39">
        <w:t xml:space="preserve"> delivery across four records but shows inconsistent execution, with supporting data ranging from 84% to 98% on-time delivery. BIND567 is classified as High risk with an average delivery timeline of 11.25 days across 12 records, while COMP042 shows a longer Medium-risk average delivery timeline of 15.13 days across 24 records. COMP043 is classified as Low risk but has a 4.89% defect rate, creating a quality-related compliance concern despite its lower delivery risk profile.</w:t>
      </w:r>
    </w:p>
    <w:p w14:paraId="117E145B" w14:textId="77777777" w:rsidR="00E05F39" w:rsidRDefault="00E05F39">
      <w:r>
        <w:t>Compliance risk is elevated where delivery variability, backorder pressure, and quality defects could trigger unplanned substitutions, expedited logistics, production delays, additional inspection, or deviation documentation. Priority actions should focus on tightening supplier performance reviews, validating reorder and safety stock assumptions, and applying component-specific corrective actions for COAT890, CARB123, BIND567, COMP042, and COMP043. These measures will reduce operational disruption while strengthening traceability, quality control, and audit readiness.</w:t>
      </w:r>
    </w:p>
    <w:p w14:paraId="2A80F313" w14:textId="77777777" w:rsidR="00601A3B" w:rsidRDefault="00601A3B">
      <w:pPr>
        <w:pStyle w:val="Heading2"/>
        <w:rPr>
          <w:rFonts w:asciiTheme="minorHAnsi" w:hAnsiTheme="minorHAnsi" w:cstheme="minorBidi"/>
        </w:rPr>
      </w:pPr>
      <w:r>
        <w:rPr>
          <w:rFonts w:asciiTheme="minorHAnsi" w:hAnsiTheme="minorHAnsi" w:cstheme="minorBidi"/>
        </w:rPr>
        <w:t>Component Overview</w:t>
      </w:r>
    </w:p>
    <w:tbl>
      <w:tblPr>
        <w:tblStyle w:val="GridTable4-Accent1"/>
        <w:tblW w:w="0" w:type="auto"/>
        <w:tblInd w:w="0" w:type="dxa"/>
        <w:tblLook w:val="04A0" w:firstRow="1" w:lastRow="0" w:firstColumn="1" w:lastColumn="0" w:noHBand="0" w:noVBand="1"/>
      </w:tblPr>
      <w:tblGrid>
        <w:gridCol w:w="1512"/>
        <w:gridCol w:w="3798"/>
        <w:gridCol w:w="4034"/>
      </w:tblGrid>
      <w:tr w:rsidR="00601A3B" w14:paraId="57379E7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5838B6" w14:textId="77777777" w:rsidR="00601A3B" w:rsidRDefault="00601A3B">
            <w:pPr>
              <w:spacing w:after="160"/>
            </w:pPr>
            <w:r>
              <w:rPr>
                <w:b/>
                <w:bCs/>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475C8" w14:textId="77777777" w:rsidR="00601A3B" w:rsidRDefault="00601A3B">
            <w:pPr>
              <w:spacing w:after="160"/>
            </w:pPr>
            <w:r>
              <w:rPr>
                <w:b/>
                <w:bCs/>
              </w:rPr>
              <w:t>Key Data Point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7676D" w14:textId="77777777" w:rsidR="00601A3B" w:rsidRDefault="00601A3B">
            <w:pPr>
              <w:spacing w:after="160"/>
            </w:pPr>
            <w:r>
              <w:rPr>
                <w:b/>
                <w:bCs/>
              </w:rPr>
              <w:t>Risk Interpretation</w:t>
            </w:r>
          </w:p>
        </w:tc>
      </w:tr>
      <w:tr w:rsidR="00601A3B" w14:paraId="1FC9E2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C7C561" w14:textId="77777777" w:rsidR="00601A3B" w:rsidRDefault="00601A3B">
            <w:pPr>
              <w:spacing w:after="160"/>
            </w:pPr>
            <w:r>
              <w:t>BIND567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9EBD4E9" w14:textId="77777777" w:rsidR="00601A3B" w:rsidRDefault="00601A3B">
            <w:pPr>
              <w:spacing w:after="160"/>
            </w:pPr>
            <w:r>
              <w:t>High risk; 11.25 average delivery days; 12 records; 99% on-time delivery in supporting dataset 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3AABD" w14:textId="77777777" w:rsidR="00601A3B" w:rsidRDefault="00601A3B">
            <w:pPr>
              <w:spacing w:after="160"/>
            </w:pPr>
            <w:r>
              <w:t>Primary risk appears linked to delivery uncertainty and lead-time exposure rather than consistently poor on-time performance.</w:t>
            </w:r>
          </w:p>
        </w:tc>
      </w:tr>
      <w:tr w:rsidR="00601A3B" w14:paraId="16D9DD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F24BA4" w14:textId="77777777" w:rsidR="00601A3B" w:rsidRDefault="00601A3B">
            <w:pPr>
              <w:spacing w:after="160"/>
            </w:pPr>
            <w:r>
              <w:lastRenderedPageBreak/>
              <w:t>CARB123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CA586" w14:textId="77777777" w:rsidR="00601A3B" w:rsidRDefault="00601A3B">
            <w:pPr>
              <w:spacing w:after="160"/>
            </w:pPr>
            <w:r>
              <w:t>90.25% average on-time delivery across four records; high-risk entries include 85% and 98% on-time delivery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76E271" w14:textId="77777777" w:rsidR="00601A3B" w:rsidRDefault="00601A3B">
            <w:pPr>
              <w:spacing w:after="160"/>
            </w:pPr>
            <w:r>
              <w:t xml:space="preserve">Performance is inconsistent; the component requires </w:t>
            </w:r>
            <w:proofErr w:type="gramStart"/>
            <w:r>
              <w:t>closer</w:t>
            </w:r>
            <w:proofErr w:type="gramEnd"/>
            <w:r>
              <w:t xml:space="preserve"> monitoring of supplier execution and inventory buffers.</w:t>
            </w:r>
          </w:p>
        </w:tc>
      </w:tr>
      <w:tr w:rsidR="00601A3B" w14:paraId="6B88C0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245F09" w14:textId="77777777" w:rsidR="00601A3B" w:rsidRDefault="00601A3B">
            <w:pPr>
              <w:spacing w:after="160"/>
            </w:pPr>
            <w:r>
              <w:t>COAT890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5EB91A" w14:textId="77777777" w:rsidR="00601A3B" w:rsidRDefault="00601A3B">
            <w:pPr>
              <w:spacing w:after="160"/>
            </w:pPr>
            <w:r>
              <w:t xml:space="preserve">84.20% average on-time delivery across five records; multiple </w:t>
            </w:r>
            <w:proofErr w:type="spellStart"/>
            <w:r>
              <w:t>GlobalChem</w:t>
            </w:r>
            <w:proofErr w:type="spellEnd"/>
            <w:r>
              <w:t xml:space="preserve"> records range from 81% to 91% on-time delivery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01CAB" w14:textId="77777777" w:rsidR="00601A3B" w:rsidRDefault="00601A3B">
            <w:pPr>
              <w:spacing w:after="160"/>
            </w:pPr>
            <w:r>
              <w:t>Lowest component-level on-time delivery performance among highlighted components, indicating recurring service reliability concerns.</w:t>
            </w:r>
          </w:p>
        </w:tc>
      </w:tr>
      <w:tr w:rsidR="00601A3B" w14:paraId="43A4F98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52F1FF" w14:textId="77777777" w:rsidR="00601A3B" w:rsidRDefault="00601A3B">
            <w:pPr>
              <w:spacing w:after="160"/>
            </w:pPr>
            <w:r>
              <w:t>COMP042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ABA40" w14:textId="77777777" w:rsidR="00601A3B" w:rsidRDefault="00601A3B">
            <w:pPr>
              <w:spacing w:after="160"/>
            </w:pPr>
            <w:r>
              <w:t xml:space="preserve">Medium risk; 15.13 average delivery days; 24 records; </w:t>
            </w:r>
            <w:proofErr w:type="spellStart"/>
            <w:r>
              <w:t>PrimeLogistics</w:t>
            </w:r>
            <w:proofErr w:type="spellEnd"/>
            <w:r>
              <w:t xml:space="preserve"> record shows 86% on-time delivery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7F169" w14:textId="77777777" w:rsidR="00601A3B" w:rsidRDefault="00601A3B">
            <w:pPr>
              <w:spacing w:after="160"/>
            </w:pPr>
            <w:r>
              <w:t>Longer average timeline increases exposure to schedule slippage and production disruption.</w:t>
            </w:r>
          </w:p>
        </w:tc>
      </w:tr>
      <w:tr w:rsidR="00601A3B" w14:paraId="774807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0656BD" w14:textId="77777777" w:rsidR="00601A3B" w:rsidRDefault="00601A3B">
            <w:pPr>
              <w:spacing w:after="160"/>
            </w:pPr>
            <w:r>
              <w:t>COMP043</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A5333" w14:textId="77777777" w:rsidR="00601A3B" w:rsidRDefault="00601A3B">
            <w:pPr>
              <w:spacing w:after="160"/>
            </w:pPr>
            <w:r>
              <w:t>Low risk; 12.86 average delivery days; 14 records; supporting record shows 91% on-time delivery and 4.89% defect 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68A65" w14:textId="77777777" w:rsidR="00601A3B" w:rsidRDefault="00601A3B">
            <w:pPr>
              <w:spacing w:after="160"/>
            </w:pPr>
            <w:r>
              <w:t>Lower risk classification, but elevated defect rate may create quality and release risks if not addressed.</w:t>
            </w:r>
          </w:p>
        </w:tc>
      </w:tr>
    </w:tbl>
    <w:p w14:paraId="37D05B34" w14:textId="77777777" w:rsidR="00601A3B" w:rsidRDefault="00601A3B">
      <w:pPr>
        <w:pStyle w:val="Heading2"/>
        <w:rPr>
          <w:rFonts w:asciiTheme="minorHAnsi" w:hAnsiTheme="minorHAnsi" w:cstheme="minorBidi"/>
        </w:rPr>
      </w:pPr>
      <w:r>
        <w:rPr>
          <w:rFonts w:asciiTheme="minorHAnsi" w:hAnsiTheme="minorHAnsi" w:cstheme="minorBidi"/>
        </w:rPr>
        <w:t>Implications for Compliance</w:t>
      </w:r>
    </w:p>
    <w:p w14:paraId="31129944" w14:textId="77777777" w:rsidR="00601A3B" w:rsidRDefault="00601A3B">
      <w:r>
        <w:t>Supply chain variability can affect compliance by increasing the likelihood of missed production windows, unplanned substitutions, expedited logistics exceptions, and additional quality review. Components with high risk levels, elevated lead-time variance, lower on-time delivery, or higher defect rates should be treated as compliance-sensitive because they may require documented deviation handling, supplier corrective action, or enhanced incoming inspection.</w:t>
      </w:r>
    </w:p>
    <w:p w14:paraId="25CC19B5" w14:textId="77777777" w:rsidR="00601A3B" w:rsidRDefault="00601A3B">
      <w:r>
        <w:t xml:space="preserve">Examples include CARB123, which has high-risk entries and on-time delivery as low as 85%, and COMP043, which has a 4.89% defect rate despite a </w:t>
      </w:r>
      <w:proofErr w:type="gramStart"/>
      <w:r>
        <w:t>Low risk</w:t>
      </w:r>
      <w:proofErr w:type="gramEnd"/>
      <w:r>
        <w:t xml:space="preserve"> classification. COAT890 also warrants compliance attention because its average on-time delivery rate is 84.20%, creating a greater chance of production delays and exception-based procurement activity.</w:t>
      </w:r>
    </w:p>
    <w:p w14:paraId="2A8FEA20" w14:textId="77777777" w:rsidR="00601A3B" w:rsidRDefault="00601A3B">
      <w:pPr>
        <w:pStyle w:val="Heading2"/>
        <w:rPr>
          <w:rFonts w:asciiTheme="minorHAnsi" w:hAnsiTheme="minorHAnsi" w:cstheme="minorBidi"/>
        </w:rPr>
      </w:pPr>
      <w:r>
        <w:rPr>
          <w:rFonts w:asciiTheme="minorHAnsi" w:hAnsiTheme="minorHAnsi" w:cstheme="minorBidi"/>
        </w:rPr>
        <w:t>Root Cause Analysis</w:t>
      </w:r>
    </w:p>
    <w:p w14:paraId="1EEF6188" w14:textId="77777777" w:rsidR="00E05F39" w:rsidRDefault="00E05F39" w:rsidP="00E05F39">
      <w:pPr>
        <w:pStyle w:val="ListParagraph"/>
        <w:numPr>
          <w:ilvl w:val="0"/>
          <w:numId w:val="1"/>
        </w:numPr>
      </w:pPr>
      <w:r w:rsidRPr="00E05F39">
        <w:rPr>
          <w:b/>
          <w:bCs/>
        </w:rPr>
        <w:t>CARB123 — supplier capacity and execution variability:</w:t>
      </w:r>
      <w:r>
        <w:t xml:space="preserve"> CARB123 is supplied by </w:t>
      </w:r>
      <w:proofErr w:type="spellStart"/>
      <w:r>
        <w:t>RawMatPlus</w:t>
      </w:r>
      <w:proofErr w:type="spellEnd"/>
      <w:r>
        <w:t xml:space="preserve"> and shows inconsistent delivery performance across four records, with on-time delivery ranging from 84% to 98% and risk classifications spanning Low, Medium, and High. The longest recorded delivery timeline is 62 days, paired with a 24-day lead time variance and a 4.41% defect rate, indicating that delays are likely driven by a combination of supplier capacity constraints, raw material availability </w:t>
      </w:r>
      <w:r>
        <w:lastRenderedPageBreak/>
        <w:t xml:space="preserve">pressure, and quality rework. Although </w:t>
      </w:r>
      <w:proofErr w:type="spellStart"/>
      <w:r>
        <w:t>RawMatPlus</w:t>
      </w:r>
      <w:proofErr w:type="spellEnd"/>
      <w:r>
        <w:t xml:space="preserve"> has a supplier-level average delivery time of 14.23 days and a 90.62% on-time delivery rate, CARB123’s volatility suggests component-specific planning instability rather than a uniform supplier-wide failure.</w:t>
      </w:r>
    </w:p>
    <w:p w14:paraId="607D4DFC" w14:textId="77777777" w:rsidR="00E05F39" w:rsidRDefault="00E05F39" w:rsidP="00E05F39">
      <w:pPr>
        <w:pStyle w:val="ListParagraph"/>
        <w:numPr>
          <w:ilvl w:val="0"/>
          <w:numId w:val="1"/>
        </w:numPr>
      </w:pPr>
      <w:r>
        <w:rPr>
          <w:b/>
          <w:bCs/>
        </w:rPr>
        <w:t>BIND567 — logistics disruption and lead-time exposure:</w:t>
      </w:r>
      <w:r>
        <w:t xml:space="preserve"> BIND567 is classified as High risk in the Analysis worksheet with an average delivery timeline of 11.25 days across 12 records. Supporting component data shows an extreme 64-day delivery timeline, a 26-day lead time variance, and a 453-unit backorder volume, despite a 99% on-time delivery rate for the available record. This pattern suggests that BIND567’s primary delay driver is not routine supplier reliability but logistics disruption or exceptional lead-time exposure. Because the component is tied to </w:t>
      </w:r>
      <w:proofErr w:type="spellStart"/>
      <w:r>
        <w:t>EcoSupply</w:t>
      </w:r>
      <w:proofErr w:type="spellEnd"/>
      <w:r>
        <w:t>, whose supplier-level average delivery time is 15.00 days and on-time delivery rate is 87.90%, capacity and transportation responsiveness should be treated as secondary contributors.</w:t>
      </w:r>
    </w:p>
    <w:p w14:paraId="4225A380" w14:textId="77777777" w:rsidR="00E05F39" w:rsidRDefault="00E05F39" w:rsidP="00E05F39">
      <w:pPr>
        <w:pStyle w:val="ListParagraph"/>
        <w:numPr>
          <w:ilvl w:val="0"/>
          <w:numId w:val="1"/>
        </w:numPr>
      </w:pPr>
      <w:r>
        <w:rPr>
          <w:b/>
          <w:bCs/>
        </w:rPr>
        <w:t>COAT890 — supplier fragmentation, quality control failures, and logistics inconsistency:</w:t>
      </w:r>
      <w:r>
        <w:t xml:space="preserve"> COAT890 has the weakest highlighted component-level on-time delivery rate at 84.20% across five records. Its records span </w:t>
      </w:r>
      <w:proofErr w:type="spellStart"/>
      <w:r>
        <w:t>GlobalChem</w:t>
      </w:r>
      <w:proofErr w:type="spellEnd"/>
      <w:r>
        <w:t xml:space="preserve">, </w:t>
      </w:r>
      <w:proofErr w:type="spellStart"/>
      <w:r>
        <w:t>RawMatPlus</w:t>
      </w:r>
      <w:proofErr w:type="spellEnd"/>
      <w:r>
        <w:t xml:space="preserve">, and NextGen Pharma, with delivery timelines ranging from 8 to 60 days and on-time delivery rates as low as 81%. The 60-day </w:t>
      </w:r>
      <w:proofErr w:type="spellStart"/>
      <w:r>
        <w:t>GlobalChem</w:t>
      </w:r>
      <w:proofErr w:type="spellEnd"/>
      <w:r>
        <w:t xml:space="preserve"> record includes a 22-day lead time variance, while another </w:t>
      </w:r>
      <w:proofErr w:type="spellStart"/>
      <w:r>
        <w:t>GlobalChem</w:t>
      </w:r>
      <w:proofErr w:type="spellEnd"/>
      <w:r>
        <w:t xml:space="preserve"> record shows a 4.76% defect rate and a 475-unit backorder volume. These data points indicate that COAT890 delays are driven by supplier fragmentation, inconsistent logistics execution, and quality control failures that may force rework, inspection holds, or supplier substitutions.</w:t>
      </w:r>
    </w:p>
    <w:p w14:paraId="38FE2F01" w14:textId="77777777" w:rsidR="00E05F39" w:rsidRDefault="00E05F39" w:rsidP="00E05F39">
      <w:pPr>
        <w:pStyle w:val="ListParagraph"/>
        <w:numPr>
          <w:ilvl w:val="0"/>
          <w:numId w:val="1"/>
        </w:numPr>
      </w:pPr>
      <w:r>
        <w:rPr>
          <w:b/>
          <w:bCs/>
        </w:rPr>
        <w:t>Cross-component conclusion:</w:t>
      </w:r>
      <w:r>
        <w:t xml:space="preserve"> Across CARB123, BIND567, and COAT890, the primary delay drivers are lead-time volatility, supplier-specific capacity limitations, quality-related rework risk, and weak resilience to logistics disruption. Raw material shortages are most strongly suggested where high raw material cost, long lead time variance, and </w:t>
      </w:r>
      <w:proofErr w:type="gramStart"/>
      <w:r>
        <w:t>backorder</w:t>
      </w:r>
      <w:proofErr w:type="gramEnd"/>
      <w:r>
        <w:t xml:space="preserve"> volume occur together, particularly CARB123 and COAT890. The data supports targeted corrective actions by component rather than a single broad supplier intervention.</w:t>
      </w:r>
    </w:p>
    <w:p w14:paraId="28E1C609" w14:textId="77777777" w:rsidR="00601A3B" w:rsidRDefault="00601A3B">
      <w:pPr>
        <w:pStyle w:val="Heading2"/>
        <w:rPr>
          <w:rFonts w:asciiTheme="minorHAnsi" w:hAnsiTheme="minorHAnsi" w:cstheme="minorBidi"/>
        </w:rPr>
      </w:pPr>
      <w:r>
        <w:rPr>
          <w:rFonts w:asciiTheme="minorHAnsi" w:hAnsiTheme="minorHAnsi" w:cstheme="minorBidi"/>
        </w:rPr>
        <w:t>Mitigation Strategies</w:t>
      </w:r>
    </w:p>
    <w:p w14:paraId="29243DD4" w14:textId="77777777" w:rsidR="003B6142" w:rsidRDefault="00000000" w:rsidP="009941D0">
      <w:pPr>
        <w:pStyle w:val="Heading3"/>
        <w:rPr>
          <w:rFonts w:cstheme="minorBidi"/>
        </w:rPr>
      </w:pPr>
      <w:r w:rsidRPr="009941D0">
        <w:rPr>
          <w:rFonts w:cstheme="minorBidi"/>
        </w:rPr>
        <w:t xml:space="preserve">General </w:t>
      </w:r>
      <w:r w:rsidRPr="009941D0">
        <w:rPr>
          <w:rFonts w:cstheme="minorBidi"/>
        </w:rPr>
        <w:t>Strategies</w:t>
      </w:r>
    </w:p>
    <w:tbl>
      <w:tblPr>
        <w:tblStyle w:val="GridTable4-Accent1"/>
        <w:tblW w:w="0" w:type="auto"/>
        <w:tblInd w:w="0" w:type="dxa"/>
        <w:tblLook w:val="04A0" w:firstRow="1" w:lastRow="0" w:firstColumn="1" w:lastColumn="0" w:noHBand="0" w:noVBand="1"/>
      </w:tblPr>
      <w:tblGrid>
        <w:gridCol w:w="4273"/>
        <w:gridCol w:w="1487"/>
        <w:gridCol w:w="3584"/>
      </w:tblGrid>
      <w:tr w:rsidR="009941D0" w14:paraId="424032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9D2648" w14:textId="77777777" w:rsidR="009941D0" w:rsidRDefault="009941D0">
            <w:pPr>
              <w:spacing w:after="160"/>
            </w:pPr>
            <w:r>
              <w:rPr>
                <w:b/>
                <w:bCs/>
              </w:rPr>
              <w:t>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295E3" w14:textId="77777777" w:rsidR="009941D0" w:rsidRDefault="009941D0">
            <w:pPr>
              <w:spacing w:after="160"/>
            </w:pPr>
            <w:r>
              <w:rPr>
                <w:b/>
                <w:bCs/>
              </w:rPr>
              <w:t>Timeline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CF783" w14:textId="77777777" w:rsidR="009941D0" w:rsidRDefault="009941D0">
            <w:pPr>
              <w:spacing w:after="160"/>
            </w:pPr>
            <w:r>
              <w:rPr>
                <w:b/>
                <w:bCs/>
              </w:rPr>
              <w:t>Expected Outcome</w:t>
            </w:r>
          </w:p>
        </w:tc>
      </w:tr>
      <w:tr w:rsidR="009941D0" w14:paraId="021A69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DC927D" w14:textId="77777777" w:rsidR="009941D0" w:rsidRDefault="009941D0">
            <w:pPr>
              <w:spacing w:after="160"/>
            </w:pPr>
            <w:r>
              <w:rPr>
                <w:b/>
                <w:bCs/>
              </w:rPr>
              <w:t>Segment suppliers by delivery and quality risk.</w:t>
            </w:r>
            <w:r>
              <w:t xml:space="preserve"> Classify suppliers using </w:t>
            </w:r>
            <w:r>
              <w:lastRenderedPageBreak/>
              <w:t>delivery timelines, on-time delivery rates, lead-time variance, defect rates, and backorder exposure.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C930A" w14:textId="77777777" w:rsidR="009941D0" w:rsidRDefault="009941D0">
            <w:pPr>
              <w:spacing w:after="160"/>
            </w:pPr>
            <w:r>
              <w:lastRenderedPageBreak/>
              <w:t>0–30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1A101" w14:textId="77777777" w:rsidR="009941D0" w:rsidRDefault="009941D0">
            <w:pPr>
              <w:spacing w:after="160"/>
            </w:pPr>
            <w:r>
              <w:t xml:space="preserve">Improved visibility into suppliers driving the greatest delay and </w:t>
            </w:r>
            <w:r>
              <w:lastRenderedPageBreak/>
              <w:t>compliance exposure, enabling faster prioritization of corrective action.</w:t>
            </w:r>
          </w:p>
        </w:tc>
      </w:tr>
      <w:tr w:rsidR="009941D0" w14:paraId="7CCEB4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5F46CD" w14:textId="77777777" w:rsidR="009941D0" w:rsidRDefault="009941D0">
            <w:pPr>
              <w:spacing w:after="160"/>
            </w:pPr>
            <w:r>
              <w:rPr>
                <w:b/>
                <w:bCs/>
              </w:rPr>
              <w:lastRenderedPageBreak/>
              <w:t>Strengthen safety stock and reorder governance.</w:t>
            </w:r>
            <w:r>
              <w:t xml:space="preserve"> Reassess reorder points and safety stock for components with high backorders, long lead-time variance, or low on-time delivery.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BF0CE" w14:textId="77777777" w:rsidR="009941D0" w:rsidRDefault="009941D0">
            <w:pPr>
              <w:spacing w:after="160"/>
            </w:pPr>
            <w:r>
              <w:t>30–60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C1E081" w14:textId="77777777" w:rsidR="009941D0" w:rsidRDefault="009941D0">
            <w:pPr>
              <w:spacing w:after="160"/>
            </w:pPr>
            <w:r>
              <w:t>Reduced production disruption from delayed receipts and fewer emergency purchases or expedited shipments.</w:t>
            </w:r>
          </w:p>
        </w:tc>
      </w:tr>
      <w:tr w:rsidR="009941D0" w14:paraId="4ACAEC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F3DFA0" w14:textId="77777777" w:rsidR="009941D0" w:rsidRDefault="009941D0">
            <w:pPr>
              <w:spacing w:after="160"/>
            </w:pPr>
            <w:r>
              <w:rPr>
                <w:b/>
                <w:bCs/>
              </w:rPr>
              <w:t>Implement supplier corrective action plans.</w:t>
            </w:r>
            <w:r>
              <w:t xml:space="preserve"> Require action plans for suppliers tied to recurring late delivery, quality failures, or unstable lead times.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6C8E1" w14:textId="77777777" w:rsidR="009941D0" w:rsidRDefault="009941D0">
            <w:pPr>
              <w:spacing w:after="160"/>
            </w:pPr>
            <w:r>
              <w:t>30–90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52BB7" w14:textId="77777777" w:rsidR="009941D0" w:rsidRDefault="009941D0">
            <w:pPr>
              <w:spacing w:after="160"/>
            </w:pPr>
            <w:r>
              <w:t>Measurable improvement in supplier accountability, delivery predictability, and quality control performance.</w:t>
            </w:r>
          </w:p>
        </w:tc>
      </w:tr>
      <w:tr w:rsidR="009941D0" w14:paraId="448C99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DA804D" w14:textId="77777777" w:rsidR="009941D0" w:rsidRDefault="009941D0">
            <w:pPr>
              <w:spacing w:after="160"/>
            </w:pPr>
            <w:r>
              <w:rPr>
                <w:b/>
                <w:bCs/>
              </w:rPr>
              <w:t>Develop qualified alternate sources.</w:t>
            </w:r>
            <w:r>
              <w:t xml:space="preserve"> Identify and qualify secondary suppliers for critical or constrained components.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905FC" w14:textId="77777777" w:rsidR="009941D0" w:rsidRDefault="009941D0">
            <w:pPr>
              <w:spacing w:after="160"/>
            </w:pPr>
            <w:r>
              <w:t>60–120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E73943" w14:textId="77777777" w:rsidR="009941D0" w:rsidRDefault="009941D0">
            <w:pPr>
              <w:spacing w:after="160"/>
            </w:pPr>
            <w:r>
              <w:t>Greater resilience against capacity constraints, logistics disruption, and single-supplier dependency.</w:t>
            </w:r>
          </w:p>
        </w:tc>
      </w:tr>
      <w:tr w:rsidR="009941D0" w14:paraId="42C08D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E30B1F" w14:textId="77777777" w:rsidR="009941D0" w:rsidRDefault="009941D0">
            <w:pPr>
              <w:spacing w:after="160"/>
            </w:pPr>
            <w:r>
              <w:rPr>
                <w:b/>
                <w:bCs/>
              </w:rPr>
              <w:t>Improve forecast discipline and procurement cadence.</w:t>
            </w:r>
            <w:r>
              <w:t xml:space="preserve"> Align forecast accuracy, usage rates, order size, and replenishment timing through recurring supply reviews.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2E9BC7" w14:textId="77777777" w:rsidR="009941D0" w:rsidRDefault="009941D0">
            <w:pPr>
              <w:spacing w:after="160"/>
            </w:pPr>
            <w:r>
              <w:t>Ongoing; monthly review cycle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1AC9E7" w14:textId="77777777" w:rsidR="009941D0" w:rsidRDefault="009941D0">
            <w:pPr>
              <w:spacing w:after="160"/>
            </w:pPr>
            <w:r>
              <w:t xml:space="preserve">Lower risk of raw material shortages, fewer </w:t>
            </w:r>
            <w:proofErr w:type="gramStart"/>
            <w:r>
              <w:t>backorders</w:t>
            </w:r>
            <w:proofErr w:type="gramEnd"/>
            <w:r>
              <w:t>, and improved planning stability across the supply chain.</w:t>
            </w:r>
          </w:p>
        </w:tc>
      </w:tr>
    </w:tbl>
    <w:p w14:paraId="10748E58" w14:textId="77777777" w:rsidR="003B6142" w:rsidRDefault="00000000" w:rsidP="004A6C84">
      <w:pPr>
        <w:pStyle w:val="Heading3"/>
        <w:rPr>
          <w:rFonts w:cstheme="minorBidi"/>
        </w:rPr>
      </w:pPr>
      <w:r w:rsidRPr="004A6C84">
        <w:rPr>
          <w:rFonts w:cstheme="minorBidi"/>
        </w:rPr>
        <w:t xml:space="preserve">Component-Specific </w:t>
      </w:r>
      <w:r w:rsidRPr="004A6C84">
        <w:rPr>
          <w:rFonts w:cstheme="minorBidi"/>
        </w:rPr>
        <w:t>Strategies</w:t>
      </w:r>
    </w:p>
    <w:tbl>
      <w:tblPr>
        <w:tblStyle w:val="GridTable4-Accent1"/>
        <w:tblW w:w="0" w:type="auto"/>
        <w:tblInd w:w="0" w:type="dxa"/>
        <w:tblLook w:val="04A0" w:firstRow="1" w:lastRow="0" w:firstColumn="1" w:lastColumn="0" w:noHBand="0" w:noVBand="1"/>
      </w:tblPr>
      <w:tblGrid>
        <w:gridCol w:w="1513"/>
        <w:gridCol w:w="2941"/>
        <w:gridCol w:w="2123"/>
        <w:gridCol w:w="2767"/>
      </w:tblGrid>
      <w:tr w:rsidR="004A6C84" w14:paraId="746CC6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C3A619" w14:textId="77777777" w:rsidR="004A6C84" w:rsidRDefault="004A6C84">
            <w:pPr>
              <w:spacing w:after="160"/>
            </w:pPr>
            <w:r>
              <w:rPr>
                <w:b/>
                <w:bCs/>
              </w:rPr>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7DE3A" w14:textId="77777777" w:rsidR="004A6C84" w:rsidRDefault="004A6C84">
            <w:pPr>
              <w:spacing w:after="160"/>
            </w:pPr>
            <w:r>
              <w:rPr>
                <w:b/>
                <w:bCs/>
              </w:rPr>
              <w:t>Targeted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54C68" w14:textId="77777777" w:rsidR="004A6C84" w:rsidRDefault="004A6C84">
            <w:pPr>
              <w:spacing w:after="160"/>
            </w:pPr>
            <w:r>
              <w:rPr>
                <w:b/>
                <w:bCs/>
              </w:rPr>
              <w:t>Timeline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11CDB" w14:textId="77777777" w:rsidR="004A6C84" w:rsidRDefault="004A6C84">
            <w:pPr>
              <w:spacing w:after="160"/>
            </w:pPr>
            <w:r>
              <w:rPr>
                <w:b/>
                <w:bCs/>
              </w:rPr>
              <w:t>Expected Outcome</w:t>
            </w:r>
          </w:p>
        </w:tc>
      </w:tr>
      <w:tr w:rsidR="004A6C84" w14:paraId="53DA4E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0F3292" w14:textId="77777777" w:rsidR="004A6C84" w:rsidRDefault="004A6C84">
            <w:pPr>
              <w:spacing w:after="160"/>
            </w:pPr>
            <w:r>
              <w:t>CARB123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13BC6B" w14:textId="77777777" w:rsidR="004A6C84" w:rsidRDefault="004A6C84">
            <w:pPr>
              <w:spacing w:after="160"/>
            </w:pPr>
            <w:r>
              <w:t xml:space="preserve">Review </w:t>
            </w:r>
            <w:proofErr w:type="spellStart"/>
            <w:r>
              <w:t>RawMatPlus</w:t>
            </w:r>
            <w:proofErr w:type="spellEnd"/>
            <w:r>
              <w:t xml:space="preserve"> contract terms, establish delivery escalation triggers, and validate raw material availability before release of new purchase orders. Increase short-term buffer inventory while supplier corrective actions are confirmed.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02340" w14:textId="77777777" w:rsidR="004A6C84" w:rsidRDefault="004A6C84">
            <w:pPr>
              <w:spacing w:after="160"/>
            </w:pPr>
            <w:r>
              <w:t>0–45 days for contract and escalation review; 45–90 days for corrective action 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50193" w14:textId="77777777" w:rsidR="004A6C84" w:rsidRDefault="004A6C84">
            <w:pPr>
              <w:spacing w:after="160"/>
            </w:pPr>
            <w:r>
              <w:t>Reduced variability in delivery performance, improved adherence to delivery commitments, and lower risk of shortages tied to the component’s 62-day delivery outlier and 24-day lead-time variance.</w:t>
            </w:r>
          </w:p>
        </w:tc>
      </w:tr>
      <w:tr w:rsidR="004A6C84" w14:paraId="0B7F86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026621" w14:textId="77777777" w:rsidR="004A6C84" w:rsidRDefault="004A6C84">
            <w:pPr>
              <w:spacing w:after="160"/>
            </w:pPr>
            <w:r>
              <w:t>BIND567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4F3D3" w14:textId="77777777" w:rsidR="004A6C84" w:rsidRDefault="004A6C84">
            <w:pPr>
              <w:spacing w:after="160"/>
            </w:pPr>
            <w:r>
              <w:t xml:space="preserve">Create a logistics recovery plan with </w:t>
            </w:r>
            <w:proofErr w:type="spellStart"/>
            <w:r>
              <w:t>EcoSupply</w:t>
            </w:r>
            <w:proofErr w:type="spellEnd"/>
            <w:r>
              <w:t xml:space="preserve">, including lane review, contingency </w:t>
            </w:r>
            <w:r>
              <w:lastRenderedPageBreak/>
              <w:t>transportation options, and weekly lead-time variance monitoring. Maintain contingency stock until lead-time variance stabilizes.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ADEF5" w14:textId="77777777" w:rsidR="004A6C84" w:rsidRDefault="004A6C84">
            <w:pPr>
              <w:spacing w:after="160"/>
            </w:pPr>
            <w:r>
              <w:lastRenderedPageBreak/>
              <w:t xml:space="preserve">0–30 days for logistics review; 30–60 days for contingency stock </w:t>
            </w:r>
            <w:r>
              <w:lastRenderedPageBreak/>
              <w:t>adjustment; weekly monitoring thereafter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86034" w14:textId="77777777" w:rsidR="004A6C84" w:rsidRDefault="004A6C84">
            <w:pPr>
              <w:spacing w:after="160"/>
            </w:pPr>
            <w:r>
              <w:lastRenderedPageBreak/>
              <w:t xml:space="preserve">Lower exposure to logistics disruption, reduced backorder risk, and faster response to </w:t>
            </w:r>
            <w:r>
              <w:lastRenderedPageBreak/>
              <w:t>exceptional lead-time events such as the 64-day delivery timeline and 26-day lead-time variance.</w:t>
            </w:r>
          </w:p>
        </w:tc>
      </w:tr>
      <w:tr w:rsidR="004A6C84" w14:paraId="452C7B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6447FC" w14:textId="77777777" w:rsidR="004A6C84" w:rsidRDefault="004A6C84">
            <w:pPr>
              <w:spacing w:after="160"/>
            </w:pPr>
            <w:r>
              <w:lastRenderedPageBreak/>
              <w:t>COAT890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A67A3" w14:textId="77777777" w:rsidR="004A6C84" w:rsidRDefault="004A6C84">
            <w:pPr>
              <w:spacing w:after="160"/>
            </w:pPr>
            <w:r>
              <w:t xml:space="preserve">Rationalize the supplier base, prioritize performance reviews with </w:t>
            </w:r>
            <w:proofErr w:type="spellStart"/>
            <w:r>
              <w:t>GlobalChem</w:t>
            </w:r>
            <w:proofErr w:type="spellEnd"/>
            <w:r>
              <w:t>, and qualify alternate supply where delivery or quality metrics remain below target. Add enhanced incoming inspection for lots linked to elevated defect rates.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D6B0EE" w14:textId="77777777" w:rsidR="004A6C84" w:rsidRDefault="004A6C84">
            <w:pPr>
              <w:spacing w:after="160"/>
            </w:pPr>
            <w:r>
              <w:t>0–60 days for supplier performance review and inspection controls; 60–120 days for alternate-source qualification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E76B4" w14:textId="77777777" w:rsidR="004A6C84" w:rsidRDefault="004A6C84">
            <w:pPr>
              <w:spacing w:after="160"/>
            </w:pPr>
            <w:r>
              <w:t>Improved on-time delivery performance from the current 84.20% level, reduced quality-related release delays, and stronger resilience against supplier fragmentation and backorder exposure.</w:t>
            </w:r>
          </w:p>
        </w:tc>
      </w:tr>
    </w:tbl>
    <w:p w14:paraId="2FCAAF2E" w14:textId="77777777" w:rsidR="003B6142" w:rsidRDefault="003B6142"/>
    <w:sectPr w:rsidR="003B61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49A"/>
    <w:multiLevelType w:val="multilevel"/>
    <w:tmpl w:val="83E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5684"/>
    <w:multiLevelType w:val="multilevel"/>
    <w:tmpl w:val="7638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942817"/>
    <w:multiLevelType w:val="multilevel"/>
    <w:tmpl w:val="731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791953">
    <w:abstractNumId w:val="0"/>
  </w:num>
  <w:num w:numId="2" w16cid:durableId="1343507770">
    <w:abstractNumId w:val="1"/>
  </w:num>
  <w:num w:numId="3" w16cid:durableId="9186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5D8"/>
    <w:rsid w:val="003B6142"/>
    <w:rsid w:val="004A6C84"/>
    <w:rsid w:val="00601A3B"/>
    <w:rsid w:val="00667A87"/>
    <w:rsid w:val="006C1EFD"/>
    <w:rsid w:val="007718E1"/>
    <w:rsid w:val="008975D8"/>
    <w:rsid w:val="009941D0"/>
    <w:rsid w:val="00B409EE"/>
    <w:rsid w:val="00E0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9532"/>
  <w15:chartTrackingRefBased/>
  <w15:docId w15:val="{E9CD8220-4494-4436-BA90-BEA487F80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7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5D8"/>
    <w:rPr>
      <w:rFonts w:eastAsiaTheme="majorEastAsia" w:cstheme="majorBidi"/>
      <w:color w:val="272727" w:themeColor="text1" w:themeTint="D8"/>
    </w:rPr>
  </w:style>
  <w:style w:type="paragraph" w:styleId="Title">
    <w:name w:val="Title"/>
    <w:basedOn w:val="Normal"/>
    <w:next w:val="Normal"/>
    <w:link w:val="TitleChar"/>
    <w:uiPriority w:val="10"/>
    <w:qFormat/>
    <w:rsid w:val="00897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5D8"/>
    <w:pPr>
      <w:spacing w:before="160"/>
      <w:jc w:val="center"/>
    </w:pPr>
    <w:rPr>
      <w:i/>
      <w:iCs/>
      <w:color w:val="404040" w:themeColor="text1" w:themeTint="BF"/>
    </w:rPr>
  </w:style>
  <w:style w:type="character" w:customStyle="1" w:styleId="QuoteChar">
    <w:name w:val="Quote Char"/>
    <w:basedOn w:val="DefaultParagraphFont"/>
    <w:link w:val="Quote"/>
    <w:uiPriority w:val="29"/>
    <w:rsid w:val="008975D8"/>
    <w:rPr>
      <w:i/>
      <w:iCs/>
      <w:color w:val="404040" w:themeColor="text1" w:themeTint="BF"/>
    </w:rPr>
  </w:style>
  <w:style w:type="paragraph" w:styleId="ListParagraph">
    <w:name w:val="List Paragraph"/>
    <w:basedOn w:val="Normal"/>
    <w:uiPriority w:val="34"/>
    <w:qFormat/>
    <w:rsid w:val="008975D8"/>
    <w:pPr>
      <w:ind w:left="720"/>
      <w:contextualSpacing/>
    </w:pPr>
  </w:style>
  <w:style w:type="character" w:styleId="IntenseEmphasis">
    <w:name w:val="Intense Emphasis"/>
    <w:basedOn w:val="DefaultParagraphFont"/>
    <w:uiPriority w:val="21"/>
    <w:qFormat/>
    <w:rsid w:val="008975D8"/>
    <w:rPr>
      <w:i/>
      <w:iCs/>
      <w:color w:val="0F4761" w:themeColor="accent1" w:themeShade="BF"/>
    </w:rPr>
  </w:style>
  <w:style w:type="paragraph" w:styleId="IntenseQuote">
    <w:name w:val="Intense Quote"/>
    <w:basedOn w:val="Normal"/>
    <w:next w:val="Normal"/>
    <w:link w:val="IntenseQuoteChar"/>
    <w:uiPriority w:val="30"/>
    <w:qFormat/>
    <w:rsid w:val="00897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5D8"/>
    <w:rPr>
      <w:i/>
      <w:iCs/>
      <w:color w:val="0F4761" w:themeColor="accent1" w:themeShade="BF"/>
    </w:rPr>
  </w:style>
  <w:style w:type="character" w:styleId="IntenseReference">
    <w:name w:val="Intense Reference"/>
    <w:basedOn w:val="DefaultParagraphFont"/>
    <w:uiPriority w:val="32"/>
    <w:qFormat/>
    <w:rsid w:val="008975D8"/>
    <w:rPr>
      <w:b/>
      <w:bCs/>
      <w:smallCaps/>
      <w:color w:val="0F4761" w:themeColor="accent1" w:themeShade="BF"/>
      <w:spacing w:val="5"/>
    </w:rPr>
  </w:style>
  <w:style w:type="table" w:styleId="GridTable4-Accent1">
    <w:name w:val="Grid Table 4 Accent 1"/>
    <w:basedOn w:val="TableNormal"/>
    <w:uiPriority w:val="49"/>
    <w:rsid w:val="00601A3B"/>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5</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10032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Castro de matos, Esron [CONBR]</dc:creator>
  <cp:keywords/>
  <dc:description/>
  <cp:lastModifiedBy>Castro de matos, Esron [CONBR]</cp:lastModifiedBy>
  <cp:revision>1</cp:revision>
  <dcterms:created xsi:type="dcterms:W3CDTF">2026-07-01T00:31:00Z</dcterms:created>
  <dcterms:modified xsi:type="dcterms:W3CDTF">2026-07-01T00:42:00Z</dcterms:modified>
</cp:coreProperties>
</file>