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Scenario Design</w:t>
      </w:r>
    </w:p>
    <w:p>
      <w:pPr>
        <w:pStyle w:val="Subtitle"/>
      </w:pPr>
      <w:r>
        <w:t xml:space="preserve">Insights from a Core-Periphery SOCIO-ECO-MRIO-SFC Model</w:t>
      </w:r>
    </w:p>
    <w:p>
      <w:pPr>
        <w:pStyle w:val="Author"/>
      </w:pPr>
      <w:r>
        <w:t xml:space="preserve">Oriol Vallès Codina</w:t>
      </w:r>
    </w:p>
    <w:p>
      <w:pPr>
        <w:pStyle w:val="Date"/>
      </w:pPr>
      <w:r>
        <w:t xml:space="preserve">2026-03-23</w:t>
      </w:r>
    </w:p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Our economy uses materials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food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energy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wood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plastic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pulp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paper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metal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glass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cement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rubber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Shifts towards economic circularity can be either driven by final demand or by intermediate production substitutions. Interventions can be modeled as redistribution operators, governed by scalar parameter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decreasing primary material use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increases secondary material use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either by:</w:t>
      </w:r>
    </w:p>
    <w:p>
      <w:pPr>
        <w:pStyle w:val="Compact"/>
        <w:numPr>
          <w:ilvl w:val="0"/>
          <w:numId w:val="1001"/>
        </w:numPr>
      </w:pPr>
      <w:r>
        <w:t xml:space="preserve">by reallocating sector-level shares in</w:t>
      </w:r>
      <w:r>
        <w:t xml:space="preserve"> </w:t>
      </w:r>
      <w:r>
        <w:rPr>
          <w:b/>
          <w:bCs/>
        </w:rPr>
        <w:t xml:space="preserve">final demand</w:t>
      </w:r>
      <w:r>
        <w:t xml:space="preserve"> </w:t>
      </w:r>
      <m:oMath>
        <m:r>
          <m:rPr>
            <m:sty m:val="b"/>
          </m:rPr>
          <m:t>d</m:t>
        </m:r>
      </m:oMath>
      <w:r>
        <w:t xml:space="preserve"> </w:t>
      </w:r>
      <w:r>
        <w:t xml:space="preserve">from primary to secondary materials:</w:t>
      </w:r>
    </w:p>
    <w:p>
      <w:pPr>
        <w:pStyle w:val="Compact"/>
        <w:numPr>
          <w:ilvl w:val="1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consumption</w:t>
      </w:r>
      <w:r>
        <w:t xml:space="preserve">:</w:t>
      </w:r>
    </w:p>
    <w:p>
      <w:pPr>
        <w:pStyle w:val="Compact"/>
        <w:numPr>
          <w:ilvl w:val="2"/>
          <w:numId w:val="1003"/>
        </w:numPr>
      </w:pPr>
      <w:r>
        <w:t xml:space="preserve">by households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</w:p>
    <w:p>
      <w:pPr>
        <w:pStyle w:val="Compact"/>
        <w:numPr>
          <w:ilvl w:val="2"/>
          <w:numId w:val="1003"/>
        </w:numPr>
      </w:pPr>
      <w:r>
        <w:t xml:space="preserve">by government</w:t>
      </w:r>
      <w:r>
        <w:t xml:space="preserve"> </w:t>
      </w:r>
      <m:oMath>
        <m:r>
          <m:t>g</m:t>
        </m:r>
      </m:oMath>
    </w:p>
    <w:p>
      <w:pPr>
        <w:pStyle w:val="Compact"/>
        <w:numPr>
          <w:ilvl w:val="1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investment / final production</w:t>
      </w:r>
      <w:r>
        <w:t xml:space="preserve">, both</w:t>
      </w:r>
    </w:p>
    <w:p>
      <w:pPr>
        <w:pStyle w:val="Compact"/>
        <w:numPr>
          <w:ilvl w:val="2"/>
          <w:numId w:val="1004"/>
        </w:numPr>
      </w:pPr>
      <w:r>
        <w:t xml:space="preserve">private</w:t>
      </w:r>
      <w:r>
        <w:t xml:space="preserve"> </w:t>
      </w:r>
      <m:oMath>
        <m:r>
          <m:t>i</m:t>
        </m:r>
        <m:r>
          <m:t>d</m:t>
        </m:r>
      </m:oMath>
      <w:r>
        <w:t xml:space="preserve"> </w:t>
      </w:r>
      <w:r>
        <w:t xml:space="preserve">and</w:t>
      </w:r>
    </w:p>
    <w:p>
      <w:pPr>
        <w:pStyle w:val="Compact"/>
        <w:numPr>
          <w:ilvl w:val="2"/>
          <w:numId w:val="1004"/>
        </w:numPr>
      </w:pPr>
      <w:r>
        <w:t xml:space="preserve">public</w:t>
      </w:r>
      <w:r>
        <w:t xml:space="preserve"> </w:t>
      </w:r>
      <m:oMath>
        <m:r>
          <m:t>i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t xml:space="preserve">, or</w:t>
      </w:r>
    </w:p>
    <w:p>
      <w:pPr>
        <w:pStyle w:val="Compact"/>
        <w:numPr>
          <w:ilvl w:val="0"/>
          <w:numId w:val="1001"/>
        </w:numPr>
      </w:pPr>
      <w:r>
        <w:t xml:space="preserve">by changing input-output coefficients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intermediate production</w:t>
      </w:r>
      <w:r>
        <w:t xml:space="preserve">, substituting industrial material inputs from primary to secondary materials.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scenarios"/>
    <w:p>
      <w:pPr>
        <w:pStyle w:val="Heading1"/>
      </w:pPr>
      <w:r>
        <w:t xml:space="preserve">2. Table of Scenarios</w:t>
      </w:r>
    </w:p>
    <w:p>
      <w:pPr>
        <w:pStyle w:val="TableCaption"/>
      </w:pPr>
      <w:r>
        <w:t xml:space="preserve">Scenario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enario Registry"/>
      </w:tblPr>
      <w:tblGrid>
        <w:gridCol w:w="190"/>
        <w:gridCol w:w="1267"/>
        <w:gridCol w:w="696"/>
        <w:gridCol w:w="760"/>
        <w:gridCol w:w="823"/>
        <w:gridCol w:w="443"/>
        <w:gridCol w:w="316"/>
        <w:gridCol w:w="1520"/>
        <w:gridCol w:w="190"/>
        <w:gridCol w:w="1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(label)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(label)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Food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Fossil-Fuel 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Electricity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Clinker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Clinker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Pulp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Clinker Re-processing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Fossil-Fuel 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Electricity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Re-processing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setup"/>
    <w:p>
      <w:pPr>
        <w:pStyle w:val="Heading1"/>
      </w:pPr>
      <w:r>
        <w:t xml:space="preserve">3. Setup</w:t>
      </w:r>
    </w:p>
    <w:p>
      <w:pPr>
        <w:pStyle w:val="FirstParagraph"/>
      </w:pPr>
      <w:r>
        <w:rPr>
          <w:i/>
          <w:iCs/>
        </w:rPr>
        <w:t xml:space="preserve">Final demand</w:t>
      </w:r>
      <w:r>
        <w:t xml:space="preserve"> </w:t>
      </w:r>
      <m:oMath>
        <m:r>
          <m:rPr>
            <m:sty m:val="b"/>
          </m:rPr>
          <m:t>d</m:t>
        </m:r>
      </m:oMath>
      <w:r>
        <w:t xml:space="preserve"> </w:t>
      </w:r>
      <w:r>
        <w:t xml:space="preserve">in real terms is defined sector-by-sector as the sum of domestic components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the external balance:</w:t>
      </w:r>
    </w:p>
    <w:p>
      <w:pPr>
        <w:pStyle w:val="Compact"/>
        <w:numPr>
          <w:ilvl w:val="0"/>
          <w:numId w:val="1005"/>
        </w:numPr>
      </w:pPr>
      <w:r>
        <w:t xml:space="preserve">Household consumption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sector-level shares</w:t>
      </w:r>
      <w:r>
        <w:t xml:space="preserve"> </w:t>
      </w:r>
      <m:oMath>
        <m:r>
          <m:t>β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Government consumption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sector-level shares</w:t>
      </w:r>
      <w:r>
        <w:t xml:space="preserve"> </w:t>
      </w:r>
      <m:oMath>
        <m:r>
          <m:t>σ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Private investment</w:t>
      </w:r>
      <w:r>
        <w:t xml:space="preserve"> </w:t>
      </w:r>
      <m:oMath>
        <m:r>
          <m:t>i</m:t>
        </m:r>
        <m:r>
          <m:t>d</m:t>
        </m:r>
      </m:oMath>
      <w:r>
        <w:t xml:space="preserve"> </w:t>
      </w:r>
      <w:r>
        <w:t xml:space="preserve">with sector-level shares</w:t>
      </w:r>
      <w:r>
        <w:t xml:space="preserve"> </w:t>
      </w:r>
      <m:oMath>
        <m:r>
          <m:t>ι</m:t>
        </m:r>
      </m:oMath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Public investment</w:t>
      </w:r>
      <w:r>
        <w:t xml:space="preserve"> </w:t>
      </w:r>
      <m:oMath>
        <m:r>
          <m:t>i</m:t>
        </m:r>
        <m:sSup>
          <m:e>
            <m:r>
              <m:t>d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with sector-level shares</w:t>
      </w:r>
      <w:r>
        <w:t xml:space="preserve"> </w:t>
      </w:r>
      <m:oMath>
        <m:sSup>
          <m:e>
            <m:r>
              <m:t>ι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t>c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t>g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ι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ι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ι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t>i</m:t>
          </m:r>
          <m:r>
            <m:t>d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ι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ι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ι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mr>
              </m:m>
            </m:e>
          </m:d>
          <m:r>
            <m:t>i</m:t>
          </m:r>
          <m:sSup>
            <m:e>
              <m:r>
                <m:t>d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external balance</m:t>
          </m:r>
        </m:oMath>
      </m:oMathPara>
    </w:p>
    <w:p>
      <w:pPr>
        <w:pStyle w:val="FirstParagraph"/>
      </w:pPr>
      <w:r>
        <w:t xml:space="preserve">Real output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is then determined by the input-output system,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Leontief inverse matrix, with elements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"/>
            </m:rPr>
            <m:t>d</m:t>
          </m:r>
          <m:r>
            <m:rPr>
              <m:sty m:val="p"/>
            </m:rPr>
            <m:t>≡</m:t>
          </m:r>
          <m:r>
            <m:t>L</m:t>
          </m:r>
          <m:r>
            <m:t> </m:t>
          </m:r>
          <m:r>
            <m:rPr>
              <m:sty m:val="b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primary sector material 1 and secondary material sector 2 (columns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in the scenarios table), material use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Total material use is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  <m:r>
                        <m:t>j</m:t>
                      </m:r>
                    </m:sub>
                  </m:sSub>
                </m:e>
              </m:d>
            </m:e>
          </m:nary>
          <m:r>
            <m:t> 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Start w:id="22" w:name="final-demand"/>
    <w:p>
      <w:pPr>
        <w:pStyle w:val="Heading2"/>
      </w:pPr>
      <w:r>
        <w:t xml:space="preserve">3.1 Final Demand</w:t>
      </w:r>
    </w:p>
    <w:p>
      <w:pPr>
        <w:pStyle w:val="FirstParagraph"/>
      </w:pPr>
      <w:r>
        <w:t xml:space="preserve">For a final domestic demand component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i</m:t>
        </m:r>
        <m:r>
          <m:t>d</m:t>
        </m:r>
        <m:r>
          <m:rPr>
            <m:sty m:val="p"/>
          </m:rPr>
          <m:t>,</m:t>
        </m:r>
        <m:r>
          <m:t>i</m:t>
        </m:r>
        <m:sSup>
          <m:e>
            <m:r>
              <m:t>d</m:t>
            </m:r>
          </m:e>
          <m:sup>
            <m:r>
              <m:t>g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with sector-level shares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β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,</m:t>
        </m:r>
        <m:r>
          <m:t>ι</m:t>
        </m:r>
        <m:r>
          <m:rPr>
            <m:sty m:val="p"/>
          </m:rPr>
          <m:t>,</m:t>
        </m:r>
        <m:sSup>
          <m:e>
            <m:r>
              <m:t>ι</m:t>
            </m:r>
          </m:e>
          <m:sup>
            <m:r>
              <m:t>g</m:t>
            </m:r>
          </m:sup>
        </m:sSup>
        <m:r>
          <m:rPr>
            <m:sty m:val="p"/>
          </m:rPr>
          <m:t>}</m:t>
        </m:r>
      </m:oMath>
      <w:r>
        <w:t xml:space="preserve">, a shift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ρ</m:t>
          </m:r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total expenditure is preserved automatically: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</m:sub>
            <m:sup>
              <m:r>
                <m:t>N</m:t>
              </m:r>
            </m:sup>
            <m:e>
              <m:r>
                <m:t>δ</m:t>
              </m:r>
            </m:e>
          </m:nary>
          <m:sSub>
            <m:e>
              <m:r>
                <m:rPr>
                  <m:sty m:val="p"/>
                </m:rPr>
                <m:t>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definition, the demand change vector is</w:t>
      </w:r>
      <w:r>
        <w:t xml:space="preserve"> </w:t>
      </w:r>
      <m:oMath>
        <m:r>
          <m:t>Δ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rPr>
            <m:sty m:val="b"/>
          </m:rPr>
          <m:t>d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rPr>
            <m:sty m:val="b"/>
          </m:rPr>
          <m:t>d</m:t>
        </m:r>
      </m:oMath>
      <w:r>
        <w:t xml:space="preserve">. Primary material demand decreases: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ρ</m:t>
          </m:r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secondary material demand increases: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ρ</m:t>
          </m:r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demand for other inputs does not change:</w:t>
      </w:r>
      <w:r>
        <w:t xml:space="preserve"> </w:t>
      </w:r>
      <m:oMath>
        <m:r>
          <m:t>Δ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While demand changes at the sector level, aggregate demand is constant: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Δ</m:t>
              </m:r>
            </m:e>
          </m:nary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ρ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D</m:t>
          </m:r>
          <m:r>
            <m:rPr>
              <m:sty m:val="p"/>
            </m:rPr>
            <m:t>+</m:t>
          </m:r>
          <m:r>
            <m:t>ρ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Δ</m:t>
        </m:r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  <m:r>
                      <m:t>j</m:t>
                    </m:r>
                  </m:sub>
                </m:sSub>
              </m:e>
            </m:d>
          </m:e>
        </m:nary>
        <m:r>
          <m:t> </m:t>
        </m:r>
        <m:r>
          <m:t>Δ</m:t>
        </m:r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, in general total material use</w:t>
      </w:r>
      <w:r>
        <w:t xml:space="preserve"> </w:t>
      </w:r>
      <m:oMath>
        <m:r>
          <m:t>Δ</m:t>
        </m:r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. There may also be a structural rebound: primary material use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can increase even though final demand of primary material decreases. The first-order material changes are: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11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M</m:t>
          </m:r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total material requirement generated by one unit of demand in the primary sector and</w:t>
      </w:r>
      <w:r>
        <w:t xml:space="preserve"> </w:t>
      </w:r>
      <m:oMath>
        <m:sSub>
          <m:e>
            <m:r>
              <m:t>l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the total material requirement generated by one unit of demand in the secondary sector.</w:t>
      </w:r>
    </w:p>
    <w:p>
      <w:r>
        <w:pict>
          <v:rect style="width:0;height:1.5pt" o:hralign="center" o:hrstd="t" o:hr="t"/>
        </w:pict>
      </w:r>
    </w:p>
    <w:bookmarkEnd w:id="22"/>
    <w:bookmarkStart w:id="23" w:name="intermediate-demand"/>
    <w:p>
      <w:pPr>
        <w:pStyle w:val="Heading2"/>
      </w:pPr>
      <w:r>
        <w:t xml:space="preserve">3.2 Intermediate Demand</w:t>
      </w:r>
    </w:p>
    <w:p>
      <w:pPr>
        <w:pStyle w:val="FirstParagraph"/>
      </w:pPr>
      <w:r>
        <w:t xml:space="preserve">Let primary sector 1 and secondary sector 2 supply the same functional material input. For each using sector</w:t>
      </w:r>
      <w:r>
        <w:t xml:space="preserve"> </w:t>
      </w:r>
      <m:oMath>
        <m:r>
          <m:t>j</m:t>
        </m:r>
      </m:oMath>
      <w:r>
        <w:t xml:space="preserve">, define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j</m:t>
            </m:r>
          </m:sub>
        </m:sSub>
      </m:oMath>
      <w:r>
        <w:t xml:space="preserve">. A substitution parameter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a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a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for </m:t>
          </m:r>
          <m:r>
            <m:t>i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(bundle conservation, no productivity change). The technology shock is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a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otherwise.</m:t>
          </m:r>
        </m:oMath>
      </m:oMathPara>
    </w:p>
    <w:p>
      <w:pPr>
        <w:pStyle w:val="FirstParagraph"/>
      </w:pPr>
      <w:r>
        <w:t xml:space="preserve">For small</w:t>
      </w:r>
      <w:r>
        <w:t xml:space="preserve"> </w:t>
      </w:r>
      <m:oMath>
        <m:r>
          <m:t>ρ</m:t>
        </m:r>
      </m:oMath>
      <w:r>
        <w:t xml:space="preserve">, first-order changes in gross output are: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b"/>
            </m:rPr>
            <m:t>x</m:t>
          </m:r>
          <m:r>
            <m:rPr>
              <m:sty m:val="p"/>
            </m:rPr>
            <m:t>≈</m:t>
          </m:r>
          <m:r>
            <m:t>L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Δ</m:t>
              </m:r>
              <m:r>
                <m:t>A</m:t>
              </m:r>
            </m:e>
          </m:d>
          <m:r>
            <m:t> </m:t>
          </m:r>
          <m:r>
            <m:rPr>
              <m:sty m:val="b"/>
            </m:rP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Component-wise,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ρ</m:t>
        </m:r>
        <m:r>
          <m:t> 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 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i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i</m:t>
                </m:r>
                <m:r>
                  <m:t>1</m:t>
                </m:r>
              </m:sub>
            </m:sSub>
          </m:e>
        </m:d>
      </m:oMath>
      <w:r>
        <w:t xml:space="preserve">. The material changes for a substitution in a single using sector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11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M</m:t>
          </m:r>
          <m:r>
            <m:rPr>
              <m:sty m:val="p"/>
            </m:rPr>
            <m:t>≈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substitution occurs across all using sectors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  <m:scr m:val="script"/>
          </m:rPr>
          <m:t>J</m:t>
        </m:r>
      </m:oMath>
      <w:r>
        <w:t xml:space="preserve">, the first-order effects sum: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11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M</m:t>
          </m:r>
          <m:r>
            <m:rPr>
              <m:sty m:val="p"/>
            </m:rPr>
            <m:t>≈</m:t>
          </m:r>
          <m:r>
            <m:t>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Note that the structural factor</w:t>
      </w:r>
      <w:r>
        <w:t xml:space="preserve"> </w:t>
      </w:r>
      <m:oMath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l</m:t>
                </m:r>
              </m:e>
              <m:sub>
                <m:r>
                  <m:t>22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l</m:t>
                </m:r>
              </m:e>
              <m:sub>
                <m:r>
                  <m:t>21</m:t>
                </m:r>
              </m:sub>
            </m:sSub>
          </m:e>
        </m:d>
      </m:oMath>
      <w:r>
        <w:t xml:space="preserve"> </w:t>
      </w:r>
      <w:r>
        <w:t xml:space="preserve">is identical for both the final demand and intermediate demand cases. What differs is the scale factor: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t>D</m:t>
        </m:r>
      </m:oMath>
      <w:r>
        <w:t xml:space="preserve"> </w:t>
      </w:r>
      <w:r>
        <w:t xml:space="preserve">in the final demand case versus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1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the intermediate demand case.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Design</dc:title>
  <dc:creator>Oriol Vallès Codina</dc:creator>
  <cp:keywords/>
  <dcterms:created xsi:type="dcterms:W3CDTF">2026-03-23T11:35:35Z</dcterms:created>
  <dcterms:modified xsi:type="dcterms:W3CDTF">2026-03-23T11:35:35Z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2026-03-23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Insights from a Core-Periphery SOCIO-ECO-MRIO-SFC Model</vt:lpwstr>
  </property>
  <property fmtid="{D5CDD505-2E9C-101B-9397-08002B2CF9AE}" pid="14" name="toc-title">
    <vt:lpwstr>Table of contents</vt:lpwstr>
  </property>
</Properties>
</file>