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FE2F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  <w:r>
        <w:rPr>
          <w:rFonts w:hint="default" w:ascii="Arial Bold" w:hAnsi="Arial Bold" w:eastAsia="SimSun" w:cs="Arial Bold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Author who hands in abstract: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Oriol Vall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ès Codina </w:t>
      </w:r>
    </w:p>
    <w:p w14:paraId="27A3965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  <w:r>
        <w:rPr>
          <w:rFonts w:hint="default" w:ascii="Arial Bold" w:hAnsi="Arial Bold" w:eastAsia="SimSun" w:cs="Arial Bold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Who will be presenter: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Oriol Vall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ès Codina </w:t>
      </w:r>
    </w:p>
    <w:p w14:paraId="18D16415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i/>
          <w:iCs/>
          <w:caps w:val="0"/>
          <w:color w:val="000000"/>
          <w:spacing w:val="0"/>
          <w:kern w:val="0"/>
          <w:sz w:val="24"/>
          <w:szCs w:val="24"/>
          <w:u w:val="none"/>
          <w:lang w:val="es-ES" w:eastAsia="zh-CN" w:bidi="ar"/>
        </w:rPr>
      </w:pPr>
      <w:r>
        <w:rPr>
          <w:rFonts w:hint="default" w:ascii="Arial Bold" w:hAnsi="Arial Bold" w:eastAsia="SimSun" w:cs="Arial Bold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Who will be co-authors: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José Bruno Ramos Torres Fevereiro, Marco Veronese Passarella, Effie Kesidou, and Annina Kaltenbrunner</w:t>
      </w:r>
    </w:p>
    <w:p w14:paraId="619ECAB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  <w:r>
        <w:rPr>
          <w:rFonts w:hint="default" w:ascii="Arial Bold" w:hAnsi="Arial Bold" w:eastAsia="SimSun" w:cs="Arial Bold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Where are you located at: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Oriol Vallès Codina (John Hopkins University, Net Zero Industrial Policy Lab, Baltimore, ML, US), José Bruno Ramos Torres Fevereiro (Università di Pisa, IT), Marco Veronese Passarella (Università di L’Aquila, IT; University of Leeds, UK), Effie Kesidou (University of Leeds, UK), and Annina Kaltenbrunner (University of Leeds, UK)</w:t>
      </w:r>
    </w:p>
    <w:p w14:paraId="4F3635FD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s-ES" w:eastAsia="zh-CN" w:bidi="ar"/>
        </w:rPr>
      </w:pPr>
      <w:r>
        <w:rPr>
          <w:rFonts w:hint="default" w:ascii="Arial Bold" w:hAnsi="Arial Bold" w:eastAsia="SimSun" w:cs="Arial Bold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Title of your paper: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Climate policies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exclusively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centered in the Global North harm the economy of the Global South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: policy lessons of a two-region ecological macroeconomic mode</w:t>
      </w:r>
      <w:bookmarkStart w:id="0" w:name="_GoBack"/>
      <w:bookmarkEnd w:id="0"/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l</w:t>
      </w:r>
    </w:p>
    <w:p w14:paraId="15C68019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</w:p>
    <w:p w14:paraId="0604ACFF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Arial Bold" w:hAnsi="Arial Bold" w:eastAsia="SimSun" w:cs="Arial Bold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Extended Abstract: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39242649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i/>
          <w:iCs/>
          <w:caps w:val="0"/>
          <w:color w:val="000000"/>
          <w:spacing w:val="0"/>
          <w:kern w:val="0"/>
          <w:sz w:val="24"/>
          <w:szCs w:val="24"/>
          <w:u w:val="none"/>
          <w:lang w:val="es-ES" w:eastAsia="zh-CN" w:bidi="ar"/>
        </w:rPr>
      </w:pPr>
    </w:p>
    <w:p w14:paraId="01537317">
      <w:pPr>
        <w:keepNext w:val="0"/>
        <w:keepLines w:val="0"/>
        <w:widowControl/>
        <w:suppressLineNumbers w:val="0"/>
        <w:jc w:val="left"/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In the face of the looming climate crisis, the Circular Economy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(CE)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paradigm has gained significant traction among academic, policy-making, and industrial circles over the past decade. However, few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macroeconomic models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address the economic viability of a transition to a circular economy, let alone the fairness of its social outcomes in the form of social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inequalities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in terms of class, gender, and race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and regional inequalities in the form of uneven development of the Global North-South Divide.</w:t>
      </w:r>
    </w:p>
    <w:p w14:paraId="154F5740">
      <w:pPr>
        <w:keepNext w:val="0"/>
        <w:keepLines w:val="0"/>
        <w:widowControl/>
        <w:suppressLineNumbers w:val="0"/>
        <w:jc w:val="left"/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</w:p>
    <w:p w14:paraId="08826BBA">
      <w:pPr>
        <w:keepNext w:val="0"/>
        <w:keepLines w:val="0"/>
        <w:widowControl/>
        <w:suppressLineNumbers w:val="0"/>
        <w:jc w:val="left"/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C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ombining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multi-regional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input-output analysis with stock-flow consisten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t macroeconomic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modelling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, this paper presents a SOCIO-ECO-MR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IO-SFC model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with social and ecological extensions and a 2-region, 54-industry structure, calibrated for Europe and the Rest of the World using EXIOBASE data. At this moment, most ECO-SFC models still aggregate the economy into one or very few sectors, in particular the energy sector (Berg et al., 2015; Canelli et al., 2024; Carnevali et al., 2021; Naqvi, 2014; Valdecantos &amp; Valentini, 2017). While SFC models are increasingly including an input-output structure in order to investigate the crucial interactions between the economy and the environment such as Berg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et al. (2015), who analyze the impact of energy price shocks, or Valdecantos &amp; Valentini (2017) and Valdecantos (2022) for Argentina, only the input-output structure of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our model, first introduced by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Bimpizas-Pinis et al. (2024)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,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is multi-regional. </w:t>
      </w:r>
    </w:p>
    <w:p w14:paraId="600746EE">
      <w:pPr>
        <w:keepNext w:val="0"/>
        <w:keepLines w:val="0"/>
        <w:widowControl/>
        <w:suppressLineNumbers w:val="0"/>
        <w:jc w:val="left"/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</w:p>
    <w:p w14:paraId="104D0685">
      <w:pPr>
        <w:keepNext w:val="0"/>
        <w:keepLines w:val="0"/>
        <w:widowControl/>
        <w:suppressLineNumbers w:val="0"/>
        <w:jc w:val="left"/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Many climate policies towards a circular economy are simulated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showing their multi-regional effects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, such as carbon taxes, carbon tariffs, increases in resource efficiency, and shifts in the composition and size of government spending. The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model explicitly includes trade barriers such as tariffs in its price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determination following the classical assumption of uniform profitability across industries (instead of the conventional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Kaleckian markup pricing), but not necessarily across regions, in addition to incorporating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migration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flows between regions. </w:t>
      </w:r>
    </w:p>
    <w:p w14:paraId="5A0D41C9">
      <w:pPr>
        <w:keepNext w:val="0"/>
        <w:keepLines w:val="0"/>
        <w:widowControl/>
        <w:suppressLineNumbers w:val="0"/>
        <w:jc w:val="left"/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</w:p>
    <w:p w14:paraId="27DE106D">
      <w:pPr>
        <w:keepNext w:val="0"/>
        <w:keepLines w:val="0"/>
        <w:widowControl/>
        <w:suppressLineNumbers w:val="0"/>
        <w:jc w:val="left"/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</w:pP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Our findings suggest that,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as long as production decisions remain driven by private interests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,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restructuring production and consumption patterns to adopt CE-driven practices 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w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ill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not be enough t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 ensure a socially just transition to a more sustainable economy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.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Instead, s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tates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should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leverage the dynamics of the economic system to foster environmental sustainability while promoting full employment, societal cohesion, and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price stability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.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Remarkably (yet as expected)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, we find that due to the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specific architecture of worldwide trade in intermediate goods, characterized by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unequal ecological exchange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, which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systematically transfers labor and natural resources from South to North,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climate policies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exclusively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centered in the Global North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disproportionately harm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the Global South in terms of growth, employment, and financial stability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with actual little ecological benefits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. Our findings thus strongly call for climate policies to truly incorporate a global scope,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>suggesting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compensatory measures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for the Global South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in the form of climate reparations</w:t>
      </w:r>
      <w:r>
        <w:rPr>
          <w:rFonts w:hint="eastAsia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s-ES" w:eastAsia="zh-CN" w:bidi="ar"/>
        </w:rPr>
        <w:t xml:space="preserve"> and public debt cancellation.</w:t>
      </w:r>
    </w:p>
    <w:p w14:paraId="6B9F6C01">
      <w:pPr>
        <w:pStyle w:val="5"/>
        <w:keepNext w:val="0"/>
        <w:keepLines w:val="0"/>
        <w:widowControl/>
        <w:suppressLineNumbers w:val="0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s-ES" w:eastAsia="zh-CN" w:bidi="ar"/>
        </w:rPr>
      </w:pPr>
    </w:p>
    <w:p w14:paraId="16D9722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alatino">
    <w:panose1 w:val="00000000000000000000"/>
    <w:charset w:val="00"/>
    <w:family w:val="auto"/>
    <w:pitch w:val="default"/>
    <w:sig w:usb0="A00002FF" w:usb1="7800205A" w:usb2="14600000" w:usb3="00000000" w:csb0="20000193" w:csb1="4D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a Madurai Regular">
    <w:panose1 w:val="00000500000000000000"/>
    <w:charset w:val="00"/>
    <w:family w:val="auto"/>
    <w:pitch w:val="default"/>
    <w:sig w:usb0="20100007" w:usb1="00000001" w:usb2="00000000" w:usb3="00000000" w:csb0="2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BB8734"/>
    <w:rsid w:val="77EF9392"/>
    <w:rsid w:val="7BF76634"/>
    <w:rsid w:val="7FFBB9F7"/>
    <w:rsid w:val="9FFF5B24"/>
    <w:rsid w:val="AB7E080D"/>
    <w:rsid w:val="EE5E9981"/>
    <w:rsid w:val="EEFB487F"/>
    <w:rsid w:val="F7EF6F1D"/>
    <w:rsid w:val="FBD740EA"/>
    <w:rsid w:val="FCBB8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ascii="palatino" w:hAnsi="palatino" w:eastAsia="palatino" w:cs="palatino"/>
      <w:color w:val="000000"/>
      <w:kern w:val="0"/>
      <w:sz w:val="19"/>
      <w:szCs w:val="19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2025-07-03T16:06:00Z</dcterms:created>
  <dc:creator>Oriol Vallès Codina</dc:creator>
  <cp:lastModifiedBy>Oriol Vallès Codina</cp:lastModifiedBy>
  <dcterms:modified xsi:type="dcterms:W3CDTF">2025-07-05T12:30:28Z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3BA3763FC3F2DA3B58806668032C2A58_41</vt:lpwstr>
  </property>
</Properties>
</file>