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 Equations — the revised LEEDS model</w:t>
      </w:r>
    </w:p>
    <w:p>
      <w:pPr>
        <w:pStyle w:val="Subtitle"/>
      </w:pPr>
      <w:r>
        <w:t xml:space="preserve">The canonical model (arm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) described block by block in the form of the submitted model description, with a short note wherever an equation departs from it. The external closure is still being chosen; the alternatives are set out at the end.</w:t>
      </w:r>
    </w:p>
    <w:p>
      <w:pPr>
        <w:pStyle w:val="Author"/>
      </w:pPr>
      <w:r>
        <w:t xml:space="preserve">Oriol Vallès Codina — LEEDS_MODEL / JUST2CE</w:t>
      </w:r>
    </w:p>
    <w:p>
      <w:pPr>
        <w:pStyle w:val="Date"/>
      </w:pPr>
      <w:r>
        <w:t xml:space="preserve">2026-09-30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Status, 1 October 2026.</w:t>
            </w:r>
            <w:r>
              <w:t xml:space="preserve"> </w:t>
            </w:r>
            <w:r>
              <w:t xml:space="preserve">This is the model the revision reports: arm</w:t>
            </w:r>
            <w:r>
              <w:t xml:space="preserve"> </w:t>
            </w:r>
            <w:r>
              <w:rPr>
                <w:rStyle w:val="VerbatimChar"/>
              </w:rPr>
              <w:t xml:space="preserve">revised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data/arms.csv</w:t>
            </w:r>
            <w:r>
              <w:t xml:space="preserve">, on the workbook</w:t>
            </w:r>
            <w:r>
              <w:t xml:space="preserve"> </w:t>
            </w:r>
            <w:r>
              <w:rPr>
                <w:rStyle w:val="VerbatimChar"/>
              </w:rPr>
              <w:t xml:space="preserve">data/initial_state/canonical_initial_state.xlsx</w:t>
            </w:r>
            <w:r>
              <w:t xml:space="preserve">. Its external closure</w:t>
            </w:r>
            <w:r>
              <w:t xml:space="preserve"> </w:t>
            </w:r>
            <w:r>
              <w:t xml:space="preserve">(Block 10) is Godley and Lavoie’s fixed exchange rate with gold as the settling reserve. That choice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final</w:t>
            </w:r>
            <w:r>
              <w:t xml:space="preserve">: the alternatives under study, and how each one behaves today, are in the last</w:t>
            </w:r>
            <w:r>
              <w:t xml:space="preserve"> </w:t>
            </w:r>
            <w:r>
              <w:t xml:space="preserve">section. The same equations also run on a North/South regional split (arm</w:t>
            </w:r>
            <w:r>
              <w:t xml:space="preserve"> </w:t>
            </w:r>
            <w:r>
              <w:rPr>
                <w:rStyle w:val="VerbatimChar"/>
              </w:rPr>
              <w:t xml:space="preserve">revised_ns</w:t>
            </w:r>
            <w:r>
              <w:t xml:space="preserve">, workbook</w:t>
            </w:r>
            <w:r>
              <w:t xml:space="preserve"> </w:t>
            </w:r>
            <w:r>
              <w:rPr>
                <w:rStyle w:val="VerbatimChar"/>
              </w:rPr>
              <w:t xml:space="preserve">data/initial_state/canonical_initial_state_North_South.xlsx</w:t>
            </w:r>
            <w:r>
              <w:t xml:space="preserve">), which was calibrated on 1 October; see Calibration.</w:t>
            </w:r>
          </w:p>
        </w:tc>
      </w:tr>
    </w:tbl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model consists of difference equations describing the dynamics of the economic variables over a</w:t>
      </w:r>
      <w:r>
        <w:t xml:space="preserve"> </w:t>
      </w:r>
      <w:r>
        <w:t xml:space="preserve">finite time horizon, both at the industry level and at the aggregate level. Each period corresponds</w:t>
      </w:r>
      <w:r>
        <w:t xml:space="preserve"> </w:t>
      </w:r>
      <w:r>
        <w:t xml:space="preserve">to one year. Variables are expressed at time</w:t>
      </w:r>
      <w:r>
        <w:t xml:space="preserve"> </w:t>
      </w:r>
      <m:oMath>
        <m:r>
          <m:t>t</m:t>
        </m:r>
      </m:oMath>
      <w:r>
        <w:t xml:space="preserve">, unless a</w:t>
      </w:r>
      <w:r>
        <w:t xml:space="preserve"> </w:t>
      </w:r>
      <w:r>
        <w:t xml:space="preserve">“−1”</w:t>
      </w:r>
      <w:r>
        <w:t xml:space="preserve"> </w:t>
      </w:r>
      <w:r>
        <w:t xml:space="preserve">subscript denotes a lagged value. We</w:t>
      </w:r>
      <w:r>
        <w:t xml:space="preserve"> </w:t>
      </w:r>
      <w:r>
        <w:t xml:space="preserve">use the superscript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for each area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other area. The two areas are the European</w:t>
      </w:r>
      <w:r>
        <w:t xml:space="preserve"> </w:t>
      </w:r>
      <w:r>
        <w:t xml:space="preserve">Union (Z1) and the Rest of the World (Z2), each with the 54 industries of the EXIOBASE 3.8.2</w:t>
      </w:r>
      <w:r>
        <w:t xml:space="preserve"> </w:t>
      </w:r>
      <w:r>
        <w:t xml:space="preserve">aggregation for 2011. Exchange rates are quoted indirectly:</w:t>
      </w:r>
      <w:r>
        <w:t xml:space="preserve"> </w:t>
      </w:r>
      <m:oMath>
        <m:r>
          <m:t>x</m:t>
        </m:r>
        <m:sSup>
          <m:e>
            <m:r>
              <m:t>r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the price of one unit of</w:t>
      </w:r>
      <w:r>
        <w:t xml:space="preserve"> </w:t>
      </w:r>
      <w:r>
        <w:t xml:space="preserve">domestic currency in foreign currency.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⊘</m:t>
        </m:r>
      </m:oMath>
      <w:r>
        <w:t xml:space="preserve"> </w:t>
      </w:r>
      <w:r>
        <w:t xml:space="preserve">are element-wise multiplication and</w:t>
      </w:r>
      <w:r>
        <w:t xml:space="preserve"> </w:t>
      </w:r>
      <w:r>
        <w:t xml:space="preserve">division.</w:t>
      </w:r>
    </w:p>
    <w:p>
      <w:pPr>
        <w:pStyle w:val="BodyText"/>
      </w:pPr>
      <w:r>
        <w:rPr>
          <w:b/>
          <w:bCs/>
        </w:rPr>
        <w:t xml:space="preserve">How this text relates to the submitted description.</w:t>
      </w:r>
      <w:r>
        <w:t xml:space="preserve"> </w:t>
      </w:r>
      <w:r>
        <w:t xml:space="preserve">The block structure, the numbering and, for</w:t>
      </w:r>
      <w:r>
        <w:t xml:space="preserve"> </w:t>
      </w:r>
      <w:r>
        <w:t xml:space="preserve">every equation that has not changed, the wording follow the submitted model description. Where an</w:t>
      </w:r>
      <w:r>
        <w:t xml:space="preserve"> </w:t>
      </w:r>
      <w:r>
        <w:t xml:space="preserve">equation departs from it, a short note in italics says what changed and why. Equations that are new</w:t>
      </w:r>
      <w:r>
        <w:t xml:space="preserve"> </w:t>
      </w:r>
      <w:r>
        <w:t xml:space="preserve">carry a letter suffix (2.4a) or the number of the block they belong to (8.S1 … 8.S7 for the price of</w:t>
      </w:r>
      <w:r>
        <w:t xml:space="preserve"> </w:t>
      </w:r>
      <w:r>
        <w:t xml:space="preserve">production). The equations themselves are printed from the project’s equation catalogue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qmd/equations/equations.csv</w:t>
      </w:r>
      <w:r>
        <w:t xml:space="preserve">, column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), the same source as the browsable tables in</w:t>
      </w:r>
      <w:r>
        <w:t xml:space="preserve"> </w:t>
      </w:r>
      <w:r>
        <w:rPr>
          <w:rStyle w:val="VerbatimChar"/>
        </w:rPr>
        <w:t xml:space="preserve">model/equations/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departures in brief.</w:t>
      </w:r>
      <w:r>
        <w:t xml:space="preserve"> </w:t>
      </w:r>
      <w:r>
        <w:t xml:space="preserve">The model differs from the submitted description in six respects. Each</w:t>
      </w:r>
      <w:r>
        <w:t xml:space="preserve"> </w:t>
      </w:r>
      <w:r>
        <w:t xml:space="preserve">is taken up in its block.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Prices of production</w:t>
      </w:r>
      <w:r>
        <w:t xml:space="preserve"> </w:t>
      </w:r>
      <w:r>
        <w:t xml:space="preserve">(Block 8). The 108 industry mark-ups are replaced by one uniform rate of</w:t>
      </w:r>
      <w:r>
        <w:t xml:space="preserve"> </w:t>
      </w:r>
      <w:r>
        <w:t xml:space="preserve">profit on the circulating and fixed capital advanced, as in Sraffa (1960). The rate of profit is</w:t>
      </w:r>
      <w:r>
        <w:t xml:space="preserve"> </w:t>
      </w:r>
      <w:r>
        <w:t xml:space="preserve">the money rate of interest plus a normal profit of enterprise (Pivetti 1991).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consistent valuation of prices, taxes and trade</w:t>
      </w:r>
      <w:r>
        <w:t xml:space="preserve"> </w:t>
      </w:r>
      <w:r>
        <w:t xml:space="preserve">(Blocks 2, 5, 8, 9). Market prices are basic</w:t>
      </w:r>
      <w:r>
        <w:t xml:space="preserve"> </w:t>
      </w:r>
      <w:r>
        <w:t xml:space="preserve">prices, without VAT. Tariffs fall on the customs value of imports. Imports are read from the</w:t>
      </w:r>
      <w:r>
        <w:t xml:space="preserve"> </w:t>
      </w:r>
      <w:r>
        <w:t xml:space="preserve">input–output structure instead of an estimated import function.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capital from data</w:t>
      </w:r>
      <w:r>
        <w:t xml:space="preserve"> </w:t>
      </w:r>
      <w:r>
        <w:t xml:space="preserve">(Blocks 2, 3, 8). An empirical capital-flow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(EXIOBASE</w:t>
      </w:r>
    </w:p>
    <w:p>
      <w:pPr>
        <w:pStyle w:val="Compact"/>
        <w:numPr>
          <w:ilvl w:val="1"/>
          <w:numId w:val="1002"/>
        </w:numPr>
      </w:pPr>
      <w:r>
        <w:t xml:space="preserve">gives what each industry’s depreciation consists of, by product and by origin. Replacement</w:t>
      </w:r>
      <w:r>
        <w:t xml:space="preserve"> </w:t>
      </w:r>
      <w:r>
        <w:t xml:space="preserve">demand, depreciation and the price of production all use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Origins respond to prices</w:t>
      </w:r>
      <w:r>
        <w:t xml:space="preserve"> </w:t>
      </w:r>
      <w:r>
        <w:t xml:space="preserve">(Blocks 9, 13). The split of each purchase between domestic and</w:t>
      </w:r>
      <w:r>
        <w:t xml:space="preserve"> </w:t>
      </w:r>
      <w:r>
        <w:t xml:space="preserve">foreign suppliers responds to relative buyer prices (Armington), for final demand and, since</w:t>
      </w:r>
      <w:r>
        <w:t xml:space="preserve"> </w:t>
      </w:r>
      <w:r>
        <w:t xml:space="preserve">30 September, for intermediate inputs as well.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Portfolio choice responds to returns</w:t>
      </w:r>
      <w:r>
        <w:t xml:space="preserve"> </w:t>
      </w:r>
      <w:r>
        <w:t xml:space="preserve">(Block 7). Asset shares respond to relative rates of</w:t>
      </w:r>
      <w:r>
        <w:t xml:space="preserve"> </w:t>
      </w:r>
      <w:r>
        <w:t xml:space="preserve">return through a Tobin substitution matrix, around the observed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external closure</w:t>
      </w:r>
      <w:r>
        <w:t xml:space="preserve"> </w:t>
      </w:r>
      <w:r>
        <w:t xml:space="preserve">(Block 10). Each central bank is the residual holder of its own</w:t>
      </w:r>
      <w:r>
        <w:t xml:space="preserve"> </w:t>
      </w:r>
      <w:r>
        <w:t xml:space="preserve">government’s bills, and the balance of payments settles in gold (Godley and Lavoie’s OPENFIX).</w:t>
      </w:r>
    </w:p>
    <w:bookmarkEnd w:id="23"/>
    <w:bookmarkStart w:id="24" w:name="block-0.-initial-state"/>
    <w:p>
      <w:pPr>
        <w:pStyle w:val="Heading1"/>
      </w:pPr>
      <w:r>
        <w:t xml:space="preserve">Block 0. Initial State</w:t>
      </w:r>
    </w:p>
    <w:p>
      <w:pPr>
        <w:pStyle w:val="FirstParagraph"/>
      </w:pPr>
      <w:r>
        <w:t xml:space="preserve">The workbook gives the economy’s flows for 2011 but no stocks: every financial and real stock starts</w:t>
      </w:r>
      <w:r>
        <w:t xml:space="preserve"> </w:t>
      </w:r>
      <w:r>
        <w:t xml:space="preserve">at zero. The model is therefore first run</w:t>
      </w:r>
      <w:r>
        <w:t xml:space="preserve"> </w:t>
      </w:r>
      <w:r>
        <w:rPr>
          <w:b/>
          <w:bCs/>
        </w:rPr>
        <w:t xml:space="preserve">unshocked for 60 periods</w:t>
      </w:r>
      <w:r>
        <w:t xml:space="preserve">, and period 1 of every</w:t>
      </w:r>
      <w:r>
        <w:t xml:space="preserve"> </w:t>
      </w:r>
      <w:r>
        <w:t xml:space="preserve">experiment starts from that run’s last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S</m:t>
              </m:r>
            </m:sub>
            <m:sup>
              <m:r>
                <m:t> </m:t>
              </m:r>
              <m:r>
                <m:rPr>
                  <m:nor/>
                  <m:sty m:val="p"/>
                </m:rPr>
                <m:t>unshocked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60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0.1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Without it, the first thirty or so periods of every experiment were the economy building its</w:t>
      </w:r>
      <w:r>
        <w:t xml:space="preserve"> </w:t>
      </w:r>
      <w:r>
        <w:t xml:space="preserve">stocks. At the start of this run each government has issued a stock of bills to its own central</w:t>
      </w:r>
      <w:r>
        <w:t xml:space="preserve"> </w:t>
      </w:r>
      <w:r>
        <w:t xml:space="preserve">bank (</w:t>
      </w:r>
      <w:r>
        <w:rPr>
          <w:rStyle w:val="VerbatimChar"/>
        </w:rPr>
        <w:t xml:space="preserve">debt_endowment</w:t>
      </w:r>
      <w:r>
        <w:t xml:space="preserve">), which sets the level of public debt at which the economy is stationary; it</w:t>
      </w:r>
      <w:r>
        <w:t xml:space="preserve"> </w:t>
      </w:r>
      <w:r>
        <w:t xml:space="preserve">is one of the calibrated parameters (see Calibration). Ecological accumulators start from the</w:t>
      </w:r>
      <w:r>
        <w:t xml:space="preserve"> </w:t>
      </w:r>
      <w:r>
        <w:t xml:space="preserve">workbook, not from the run.</w:t>
      </w:r>
    </w:p>
    <w:bookmarkEnd w:id="24"/>
    <w:bookmarkStart w:id="25" w:name="block-1.-households"/>
    <w:p>
      <w:pPr>
        <w:pStyle w:val="Heading1"/>
      </w:pPr>
      <w:r>
        <w:t xml:space="preserve">Block 1. Households</w:t>
      </w:r>
    </w:p>
    <w:p>
      <w:pPr>
        <w:pStyle w:val="FirstParagraph"/>
      </w:pPr>
      <w:r>
        <w:t xml:space="preserve">Households’ domestic consumption in real terms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α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3</m:t>
              </m:r>
            </m:sub>
            <m:sup>
              <m:r>
                <m:t>z</m:t>
              </m:r>
            </m:sup>
          </m:sSubSup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A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a consumer price index, while</w:t>
      </w:r>
      <w:r>
        <w:t xml:space="preserve"> </w:t>
      </w:r>
      <m:oMath>
        <m:sSubSup>
          <m:e>
            <m:r>
              <m:t>α</m:t>
            </m:r>
          </m:e>
          <m:sub>
            <m:r>
              <m:t>1</m:t>
            </m:r>
          </m:sub>
          <m:sup>
            <m:r>
              <m:t>z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α</m:t>
            </m:r>
          </m:e>
          <m:sub>
            <m:r>
              <m:t>2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α</m:t>
            </m:r>
          </m:e>
          <m:sub>
            <m:r>
              <m:t>3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the</w:t>
      </w:r>
      <w:r>
        <w:t xml:space="preserve"> </w:t>
      </w:r>
      <w:r>
        <w:t xml:space="preserve">propensities to consume out of disposable labour income (</w:t>
      </w:r>
      <m:oMath>
        <m:r>
          <m:t>Y</m:t>
        </m:r>
        <m:sSubSup>
          <m:e>
            <m:r>
              <m:t>D</m:t>
            </m:r>
          </m:e>
          <m:sub>
            <m:r>
              <m:t>w</m:t>
            </m:r>
          </m:sub>
          <m:sup>
            <m:r>
              <m:t>z</m:t>
            </m:r>
          </m:sup>
        </m:sSubSup>
      </m:oMath>
      <w:r>
        <w:t xml:space="preserve">), disposable capital income</w:t>
      </w:r>
      <w:r>
        <w:t xml:space="preserve"> </w:t>
      </w:r>
      <w:r>
        <w:t xml:space="preserve">(</w:t>
      </w:r>
      <m:oMath>
        <m:r>
          <m:t>Y</m:t>
        </m:r>
        <m:sSubSup>
          <m:e>
            <m:r>
              <m:t>D</m:t>
            </m:r>
          </m:e>
          <m:sub>
            <m:r>
              <m:t>c</m:t>
            </m:r>
          </m:sub>
          <m:sup>
            <m:r>
              <m:t>z</m:t>
            </m:r>
          </m:sup>
        </m:sSubSup>
      </m:oMath>
      <w:r>
        <w:t xml:space="preserve">) and net wealth (</w:t>
      </w:r>
      <m:oMath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). Purely adaptive price expectations are assumed: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p</m:t>
                </m:r>
              </m:e>
              <m:sub>
                <m:r>
                  <m:t>A</m:t>
                </m:r>
              </m:sub>
              <m:sup>
                <m:r>
                  <m:t>z</m:t>
                </m:r>
              </m:sup>
            </m:sSubSup>
          </m:e>
        </m:d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z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Disposable income is net domestic income from firms and banks, plus interest on bank deposits and</w:t>
      </w:r>
      <w:r>
        <w:t xml:space="preserve"> </w:t>
      </w:r>
      <w:r>
        <w:t xml:space="preserve">government bills, plus capital gains on holdings of foreign bills and shares, minus taxes and</w:t>
      </w:r>
      <w:r>
        <w:t xml:space="preserve"> </w:t>
      </w:r>
      <w:r>
        <w:t xml:space="preserve">interest on personal loans: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t>I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r>
            <m:t>F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1.2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Interest on foreign bills is converted at the current exchange rate, the date at which</w:t>
      </w:r>
      <w:r>
        <w:t xml:space="preserve"> </w:t>
      </w:r>
      <w:r>
        <w:t xml:space="preserve">the issuer pays it, as in Godley and Lavoie (2007, eq. 12.1). It changes nothing while the exchange</w:t>
      </w:r>
      <w:r>
        <w:t xml:space="preserve"> </w:t>
      </w:r>
      <w:r>
        <w:t xml:space="preserve">rate is fixed.</w:t>
      </w:r>
    </w:p>
    <w:p>
      <w:pPr>
        <w:pStyle w:val="BodyText"/>
      </w:pPr>
      <w:r>
        <w:t xml:space="preserve">Disposable labour income, capital income and net wealth are: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θ</m:t>
                  </m:r>
                </m:e>
                <m:sub>
                  <m:r>
                    <m:t>w</m:t>
                  </m:r>
                </m:sub>
                <m:sup>
                  <m:r>
                    <m:t>e</m:t>
                  </m:r>
                  <m:r>
                    <m:t>f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1.5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(1.3).</w:t>
      </w:r>
      <w:r>
        <w:t xml:space="preserve"> </w:t>
      </w:r>
      <w:r>
        <w:t xml:space="preserve">Labour income is taxed at the effective rate</w:t>
      </w:r>
      <w:r>
        <w:t xml:space="preserve"> </w:t>
      </w:r>
      <m:oMath>
        <m:sSubSup>
          <m:e>
            <m:r>
              <m:t>θ</m:t>
            </m:r>
          </m:e>
          <m:sub>
            <m:r>
              <m:t>w</m:t>
            </m:r>
          </m:sub>
          <m:sup>
            <m:r>
              <m:t>e</m:t>
            </m:r>
            <m:r>
              <m:t>f</m:t>
            </m:r>
            <m:r>
              <m:t>f</m:t>
            </m:r>
            <m:r>
              <m:rPr>
                <m:sty m:val="p"/>
              </m:rPr>
              <m:t>,</m:t>
            </m:r>
            <m:r>
              <m:t>z</m:t>
            </m:r>
          </m:sup>
        </m:sSubSup>
      </m:oMath>
      <w:r>
        <w:t xml:space="preserve"> </w:t>
      </w:r>
      <w:r>
        <w:t xml:space="preserve">of the optional</w:t>
      </w:r>
      <w:r>
        <w:t xml:space="preserve"> </w:t>
      </w:r>
      <w:r>
        <w:t xml:space="preserve">fiscal rule (5.2b). It equals</w:t>
      </w:r>
      <w:r>
        <w:t xml:space="preserve"> </w:t>
      </w:r>
      <m:oMath>
        <m:sSubSup>
          <m:e>
            <m:r>
              <m:t>θ</m:t>
            </m:r>
          </m:e>
          <m:sub>
            <m:r>
              <m:t>w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while the rule is off, as it is in every result reported.</w:t>
      </w:r>
    </w:p>
    <w:p>
      <w:pPr>
        <w:pStyle w:val="BodyText"/>
      </w:pPr>
      <w:r>
        <w:t xml:space="preserve">Four indicators of distribution are reported; no other equation reads them: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bSup>
            <m:e>
              <m:r>
                <m:t>D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h</m:t>
          </m:r>
          <m:sSup>
            <m:e>
              <m:r>
                <m:t>w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bSup>
            <m:e>
              <m:r>
                <m:t>D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Y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n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v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Y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n</m:t>
          </m:r>
          <m:r>
            <m:t>e</m:t>
          </m:r>
          <m:sSup>
            <m:e>
              <m:r>
                <m:t>q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t>n</m:t>
          </m:r>
          <m:r>
            <m:t>e</m:t>
          </m:r>
          <m:sSubSup>
            <m:e>
              <m:r>
                <m:t>q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n</m:t>
          </m:r>
          <m:r>
            <m:t>e</m:t>
          </m:r>
          <m:sSubSup>
            <m:e>
              <m:r>
                <m:t>q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Y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1.9</m:t>
              </m:r>
            </m:e>
          </m:d>
        </m:oMath>
      </m:oMathPara>
    </w:p>
    <w:bookmarkEnd w:id="25"/>
    <w:bookmarkStart w:id="26" w:name="X17ebe9e88a800117379fad768b38e3f2f3158c5"/>
    <w:p>
      <w:pPr>
        <w:pStyle w:val="Heading1"/>
      </w:pPr>
      <w:r>
        <w:t xml:space="preserve">Block 2. Production Firms (Current Account)</w:t>
      </w:r>
    </w:p>
    <w:p>
      <w:pPr>
        <w:pStyle w:val="FirstParagraph"/>
      </w:pPr>
      <w:r>
        <w:t xml:space="preserve">The final demand addressed to each industry of either area is household consumption, government</w:t>
      </w:r>
      <w:r>
        <w:t xml:space="preserve"> </w:t>
      </w:r>
      <w:r>
        <w:t xml:space="preserve">spending, private net investment, replacement of worn-out capital and government investment, each</w:t>
      </w:r>
      <w:r>
        <w:t xml:space="preserve"> </w:t>
      </w:r>
      <w:r>
        <w:t xml:space="preserve">split between domestic and foreign suppliers: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t>Z</m:t>
              </m:r>
              <m:r>
                <m:t>1</m:t>
              </m:r>
            </m:sup>
          </m:sSup>
          <m:sSup>
            <m:e>
              <m:r>
                <m:t>c</m:t>
              </m:r>
            </m:e>
            <m:sup>
              <m:r>
                <m:t>Z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β</m:t>
                  </m:r>
                </m:e>
              </m:acc>
            </m:e>
            <m:sup>
              <m:r>
                <m:t>Z</m:t>
              </m:r>
              <m:r>
                <m:t>2</m:t>
              </m:r>
            </m:sup>
          </m:sSup>
          <m:sSup>
            <m:e>
              <m:r>
                <m:t>c</m:t>
              </m:r>
            </m:e>
            <m:sup>
              <m:r>
                <m:t>Z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σ</m:t>
                  </m:r>
                </m:e>
              </m:acc>
            </m:e>
            <m:sup>
              <m:r>
                <m:t>Z</m:t>
              </m:r>
              <m:r>
                <m:t>1</m:t>
              </m:r>
            </m:sup>
          </m:s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σ</m:t>
                  </m:r>
                </m:e>
              </m:acc>
            </m:e>
            <m:sup>
              <m:r>
                <m:t>Z</m:t>
              </m:r>
              <m:r>
                <m:t>2</m:t>
              </m:r>
            </m:sup>
          </m:s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z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ι</m:t>
                          </m:r>
                        </m:e>
                      </m:acc>
                    </m:e>
                    <m:sup>
                      <m:r>
                        <m:t>z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i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  <m:r>
                <m:t>1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  <m:r>
                <m:t>2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  <m:r>
                <m:t>2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c</m:t>
            </m:r>
          </m:e>
          <m:sup>
            <m:r>
              <m:t>z</m:t>
            </m:r>
          </m:sup>
        </m:sSup>
      </m:oMath>
      <w:r>
        <w:t xml:space="preserve">,</w:t>
      </w:r>
      <w:r>
        <w:t xml:space="preserve"> </w:t>
      </w:r>
      <m:oMath>
        <m:r>
          <m:t>g</m:t>
        </m:r>
        <m:r>
          <m:t>o</m:t>
        </m:r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real household consumption, government</w:t>
      </w:r>
      <w:r>
        <w:t xml:space="preserve"> </w:t>
      </w:r>
      <w:r>
        <w:t xml:space="preserve">consumption, private gross investment and government investment,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real depreciation, and</w:t>
      </w:r>
      <w:r>
        <w:t xml:space="preserve"> </w:t>
      </w:r>
      <w:r>
        <w:t xml:space="preserve">the tilde marks share vectors whose split between origins responds to relative prices (9.1e).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net-export terms of the submitted (2.1) are absent: in the multi-regional form,</w:t>
      </w:r>
      <w:r>
        <w:t xml:space="preserve"> </w:t>
      </w:r>
      <w:r>
        <w:t xml:space="preserve">trade is already inside the demand vector and the input–output matrix. Investment is split in two.</w:t>
      </w:r>
      <w:r>
        <w:t xml:space="preserve"> </w:t>
      </w:r>
      <w:r>
        <w:t xml:space="preserve">Net investment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r>
              <m:t>z</m:t>
            </m:r>
          </m:sup>
        </m:sSubSup>
        <m:r>
          <m:rPr>
            <m:sty m:val="p"/>
          </m:rPr>
          <m:t>−</m:t>
        </m:r>
        <m:r>
          <m:t>d</m:t>
        </m:r>
        <m:sSup>
          <m:e>
            <m:r>
              <m:t>a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bought with the investment shares</w:t>
      </w:r>
      <w:r>
        <w:t xml:space="preserve"> </w:t>
      </w:r>
      <m:oMath>
        <m:sSup>
          <m:e>
            <m:r>
              <m:t>ι</m:t>
            </m:r>
          </m:e>
          <m:sup>
            <m:r>
              <m:t>z</m:t>
            </m:r>
          </m:sup>
        </m:sSup>
      </m:oMath>
      <w:r>
        <w:t xml:space="preserve">, while replacement is</w:t>
      </w:r>
      <w:r>
        <w:t xml:space="preserve"> </w:t>
      </w:r>
      <w:r>
        <w:t xml:space="preserve">the bundle of goods actually worn out,</w:t>
      </w:r>
      <w:r>
        <w:t xml:space="preserve"> </w:t>
      </w:r>
      <m:oMath>
        <m:r>
          <m:t>K</m:t>
        </m:r>
        <m:r>
          <m:t>x</m:t>
        </m:r>
      </m:oMath>
      <w:r>
        <w:t xml:space="preserve">, by product and by origin, from the capital-flow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(8.S1). Government investment (5.1a) is added.</w:t>
      </w:r>
    </w:p>
    <w:p>
      <w:pPr>
        <w:pStyle w:val="BodyText"/>
      </w:pPr>
      <w:r>
        <w:t xml:space="preserve">Once final demands are known, the gross output vector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A</m:t>
                          </m:r>
                        </m:e>
                      </m:acc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d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the matrix of technical coefficients</w:t>
      </w:r>
      <w:r>
        <w:t xml:space="preserve"> </w:t>
      </w:r>
      <w:r>
        <w:rPr>
          <w:b/>
          <w:bCs/>
        </w:rPr>
        <w:t xml:space="preserve">as operated</w:t>
      </w:r>
      <w:r>
        <w:t xml:space="preserve">: the technology set by the</w:t>
      </w:r>
      <w:r>
        <w:t xml:space="preserve"> </w:t>
      </w:r>
      <w:r>
        <w:t xml:space="preserve">scenarios,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(13.1), with its split between domestic and foreign suppliers re-weighted by relative</w:t>
      </w:r>
      <w:r>
        <w:t xml:space="preserve"> </w:t>
      </w:r>
      <w:r>
        <w:t xml:space="preserve">prices (13.3). Each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associated with an industry, a technique of production and</w:t>
      </w:r>
      <w:r>
        <w:t xml:space="preserve"> </w:t>
      </w:r>
      <w:r>
        <w:t xml:space="preserve">a product.</w:t>
      </w:r>
    </w:p>
    <w:p>
      <w:pPr>
        <w:pStyle w:val="BodyText"/>
      </w:pPr>
      <w:r>
        <w:t xml:space="preserve">Two totals are reported, total final demand and total real gross output: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sSup>
            <m:e>
              <m:r>
                <m:t>O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2.3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monetary value of gross output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z</m:t>
              </m:r>
              <m:r>
                <m:t>T</m:t>
              </m:r>
            </m:sup>
          </m:sSup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2.3</m:t>
              </m:r>
            </m:e>
          </m:d>
        </m:oMath>
      </m:oMathPara>
    </w:p>
    <w:p>
      <w:pPr>
        <w:pStyle w:val="FirstParagraph"/>
      </w:pPr>
      <w:r>
        <w:t xml:space="preserve">Net income is aggregate nominal demand for final products, net of VAT and tariffs: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Replacement is valued at the price of the replacement bundle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(8.5b),</w:t>
      </w:r>
      <w:r>
        <w:t xml:space="preserve"> </w:t>
      </w:r>
      <w:r>
        <w:t xml:space="preserve">government investment is added, and tariffs are the consistent tariff revenue (5.4).</w:t>
      </w:r>
    </w:p>
    <w:p>
      <w:pPr>
        <w:pStyle w:val="BodyText"/>
      </w:pPr>
      <w:r>
        <w:t xml:space="preserve">Value added is also computed from the production side, at the prices actually received and paid: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v</m:t>
              </m:r>
              <m:r>
                <m:rPr>
                  <m:sty m:val="b"/>
                </m:rP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r</m:t>
                  </m:r>
                </m:e>
                <m:sup>
                  <m:r>
                    <m:t>f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C</m:t>
                  </m:r>
                  <m:r>
                    <m:rPr>
                      <m:sty m:val="b"/>
                    </m:rPr>
                    <m:t>V</m:t>
                  </m:r>
                </m:e>
                <m:sup>
                  <m:r>
                    <m:t>f</m:t>
                  </m:r>
                </m:sup>
              </m:sSup>
            </m:e>
          </m:d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m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q</m:t>
              </m:r>
            </m:e>
            <m:sub>
              <m:r>
                <m:t>a</m:t>
              </m:r>
            </m:sub>
            <m:sup>
              <m:r>
                <m:t>z</m:t>
              </m:r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Exports earn their customs value, and inputs are charged at the buyer prices firms pay</w:t>
      </w:r>
      <w:r>
        <w:t xml:space="preserve"> </w:t>
      </w:r>
      <w:r>
        <w:t xml:space="preserve">(8.S6), so that value added summed over industries equals net income. The same quantities at last</w:t>
      </w:r>
      <w:r>
        <w:t xml:space="preserve"> </w:t>
      </w:r>
      <w:r>
        <w:t xml:space="preserve">period’s prices give a volume measure and its chained index: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v</m:t>
              </m:r>
              <m:r>
                <m:rPr>
                  <m:sty m:val="b"/>
                </m:rP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x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r>
                <m:t> </m:t>
              </m:r>
              <m:sSubSup>
                <m:e>
                  <m:r>
                    <m:rPr>
                      <m:sty m:val="b"/>
                    </m:rPr>
                    <m:t>C</m:t>
                  </m:r>
                  <m:r>
                    <m:rPr>
                      <m:sty m:val="b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m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q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  <m:r>
                <m:rPr>
                  <m:sty m:val="p"/>
                </m:rPr>
                <m:t>⊤</m:t>
              </m:r>
            </m:sup>
          </m:sSubSup>
          <m:acc>
            <m:accPr>
              <m:chr m:val="̃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c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r>
                <m:t>r</m:t>
              </m:r>
            </m:e>
          </m:nary>
          <m:r>
            <m:t>v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d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/</m:t>
          </m:r>
          <m:r>
            <m:t>V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e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t>a</m:t>
          </m:r>
          <m:r>
            <m:rPr>
              <m:sty m:val="p"/>
            </m:rPr>
            <m:t>_</m:t>
          </m:r>
          <m:r>
            <m:t>i</m:t>
          </m:r>
          <m:r>
            <m:t>n</m:t>
          </m:r>
          <m:r>
            <m:t>d</m:t>
          </m:r>
          <m:r>
            <m:t>e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2.4</m:t>
              </m:r>
              <m:r>
                <m:t>f</m:t>
              </m:r>
            </m:e>
          </m:d>
        </m:oMath>
      </m:oMathPara>
    </w:p>
    <w:p>
      <w:pPr>
        <w:pStyle w:val="FirstParagraph"/>
      </w:pPr>
      <w:r>
        <w:t xml:space="preserve">Total corporate profit and its retained part are as in the submitted description: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Y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Sup>
            <m:e>
              <m:r>
                <m:t>F</m:t>
              </m:r>
            </m:e>
            <m:sub>
              <m:r>
                <m:t>u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ω</m:t>
              </m:r>
            </m:e>
            <m:sup>
              <m:r>
                <m:t>z</m:t>
              </m:r>
            </m:sup>
          </m:sSup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2.6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l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the interest rate on firms’ loans</w:t>
      </w:r>
      <w:r>
        <w:t xml:space="preserve"> </w:t>
      </w:r>
      <m:oMath>
        <m:sSubSup>
          <m:e>
            <m:r>
              <m:t>L</m:t>
            </m:r>
          </m:e>
          <m:sub>
            <m:r>
              <m:t>F</m:t>
            </m:r>
          </m:sub>
          <m:sup>
            <m:r>
              <m:t>z</m:t>
            </m:r>
          </m:sup>
        </m:sSubSup>
      </m:oMath>
      <w:r>
        <w:t xml:space="preserve">,</w:t>
      </w:r>
      <w:r>
        <w:t xml:space="preserve"> </w:t>
      </w:r>
      <m:oMath>
        <m:r>
          <m:t>A</m:t>
        </m:r>
        <m:sSup>
          <m:e>
            <m:r>
              <m:t>F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are amortization funds, and</w:t>
      </w:r>
      <w:r>
        <w:t xml:space="preserve"> </w:t>
      </w:r>
      <m:oMath>
        <m:sSup>
          <m:e>
            <m:r>
              <m:t>ω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the share of profit retained in addition to amortization.</w:t>
      </w:r>
    </w:p>
    <w:bookmarkEnd w:id="26"/>
    <w:bookmarkStart w:id="27" w:name="X999cdbe03feabe4129b98495a55eb8ed9cc657b"/>
    <w:p>
      <w:pPr>
        <w:pStyle w:val="Heading1"/>
      </w:pPr>
      <w:r>
        <w:t xml:space="preserve">Block 3. Production Firms (Capital Account)</w:t>
      </w:r>
    </w:p>
    <w:p>
      <w:pPr>
        <w:pStyle w:val="FirstParagraph"/>
      </w:pPr>
      <w:r>
        <w:t xml:space="preserve">The target stock of fixed capital, in real terms, and real gross investment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  <m:r>
                <m:t>T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h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⊙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z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h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is the vector of industry target capital–output ratios and</w:t>
      </w:r>
      <w:r>
        <w:t xml:space="preserve"> </w:t>
      </w:r>
      <m:oMath>
        <m:sSup>
          <m:e>
            <m:r>
              <m:t>γ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 speed of</w:t>
      </w:r>
      <w:r>
        <w:t xml:space="preserve"> </w:t>
      </w:r>
      <w:r>
        <w:t xml:space="preserve">adjustment.</w:t>
      </w:r>
    </w:p>
    <w:p>
      <w:pPr>
        <w:pStyle w:val="BodyText"/>
      </w:pPr>
      <w:r>
        <w:t xml:space="preserve">Real depreciation is the sum of each industry’s depreciation per unit of output: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3.3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consumption of fixed capital per unit of gross output (EXIOBASE 2011).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form</w:t>
      </w:r>
      <w:r>
        <w:t xml:space="preserve"> </w:t>
      </w:r>
      <m:oMath>
        <m:sSup>
          <m:e>
            <m:r>
              <m:t>δ</m:t>
            </m:r>
          </m:e>
          <m:sup>
            <m:r>
              <m:t>z</m:t>
            </m:r>
          </m:sup>
        </m:sSup>
        <m:sSubSup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charged a different depreciation from the one the</w:t>
      </w:r>
      <w:r>
        <w:t xml:space="preserve"> </w:t>
      </w:r>
      <w:r>
        <w:t xml:space="preserve">prices of production recover. With (3.3) there is one depreciation, consistent with the price</w:t>
      </w:r>
      <w:r>
        <w:t xml:space="preserve"> </w:t>
      </w:r>
      <w:r>
        <w:t xml:space="preserve">equation (8.1), since the columns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sum to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capital stock, amortization funds and firms’ demand for loans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z</m:t>
              </m:r>
            </m:sup>
          </m:sSup>
          <m:r>
            <m:t>Δ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F</m:t>
          </m:r>
          <m:sSubSup>
            <m:e>
              <m:r>
                <m:t>F</m:t>
              </m:r>
            </m:e>
            <m:sub>
              <m:r>
                <m:t>u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3.6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(3.5, 3.6).</w:t>
      </w:r>
      <w:r>
        <w:t xml:space="preserve"> </w:t>
      </w:r>
      <w:r>
        <w:t xml:space="preserve">Replacement is valued at the price of the replacement bundle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w:r>
        <w:t xml:space="preserve">net investment at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z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Share issues are demand-led, and the return on shares and dividends 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x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  <m:r>
                <m:t>F</m:t>
              </m:r>
              <m:sSup>
                <m:e>
                  <m:r>
                    <m:t>F</m:t>
                  </m:r>
                </m:e>
                <m:sup>
                  <m:r>
                    <m:t>z</m:t>
                  </m:r>
                </m:sup>
              </m:s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z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 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f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f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3.10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(3.10).</w:t>
      </w:r>
      <w:r>
        <w:t xml:space="preserve"> </w:t>
      </w:r>
      <w:r>
        <w:t xml:space="preserve">Foreign shares are held in the holder’s currency and converted once. The previous</w:t>
      </w:r>
      <w:r>
        <w:t xml:space="preserve"> </w:t>
      </w:r>
      <w:r>
        <w:t xml:space="preserve">form converted the foreign dividend twice. That changes nothing at a fixed exchange rate, but under a</w:t>
      </w:r>
      <w:r>
        <w:t xml:space="preserve"> </w:t>
      </w:r>
      <w:r>
        <w:t xml:space="preserve">floating rate it leaked gold out of the world balance.</w:t>
      </w:r>
    </w:p>
    <w:bookmarkEnd w:id="27"/>
    <w:bookmarkStart w:id="28" w:name="block-4.-commercial-banks"/>
    <w:p>
      <w:pPr>
        <w:pStyle w:val="Heading1"/>
      </w:pPr>
      <w:r>
        <w:t xml:space="preserve">Block 4. Commercial Banks</w:t>
      </w:r>
    </w:p>
    <w:p>
      <w:pPr>
        <w:pStyle w:val="FirstParagraph"/>
      </w:pPr>
      <w:r>
        <w:t xml:space="preserve">Banks supply loans and deposits on demand: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4.2</m:t>
              </m:r>
            </m:e>
          </m:d>
        </m:oMath>
      </m:oMathPara>
    </w:p>
    <w:p>
      <w:pPr>
        <w:pStyle w:val="FirstParagraph"/>
      </w:pPr>
      <w:r>
        <w:t xml:space="preserve">Banks hold government bills as a fixed share of their deposits, and borrow from (or deposit at) the</w:t>
      </w:r>
      <w:r>
        <w:t xml:space="preserve"> </w:t>
      </w:r>
      <w:r>
        <w:t xml:space="preserve">central bank to balance their balance sheet: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 the submitted form, banks held bills only when deposits exceeded loans, as the</w:t>
      </w:r>
      <w:r>
        <w:t xml:space="preserve"> </w:t>
      </w:r>
      <w:r>
        <w:t xml:space="preserve">residual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. Over a long run, that let RoW banks hold more RoW bills than had been issued.</w:t>
      </w:r>
      <w:r>
        <w:t xml:space="preserve"> </w:t>
      </w:r>
      <w:r>
        <w:t xml:space="preserve">Here bills are a demand, and advances are the residual; negative advances are banks’ deposits at the</w:t>
      </w:r>
      <w:r>
        <w:t xml:space="preserve"> </w:t>
      </w:r>
      <w:r>
        <w:t xml:space="preserve">central bank (Godley and Lavoie 2007, ch. 10).</w:t>
      </w:r>
      <w:r>
        <w:t xml:space="preserve"> </w:t>
      </w:r>
      <m:oMath>
        <m:sSubSup>
          <m:e>
            <m:r>
              <m:t>β</m:t>
            </m:r>
          </m:e>
          <m:sub>
            <m:r>
              <m:t>b</m:t>
            </m:r>
          </m:sub>
          <m:sup>
            <m:r>
              <m:t>z</m:t>
            </m:r>
          </m:sup>
        </m:sSubSup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BodyText"/>
      </w:pPr>
      <w:r>
        <w:t xml:space="preserve">Bank profit is entirely distributed to households: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4.5</m:t>
              </m:r>
            </m:e>
          </m:d>
        </m:oMath>
      </m:oMathPara>
    </w:p>
    <w:bookmarkEnd w:id="28"/>
    <w:bookmarkStart w:id="29" w:name="block-5.-government-and-central-bank"/>
    <w:p>
      <w:pPr>
        <w:pStyle w:val="Heading1"/>
      </w:pPr>
      <w:r>
        <w:t xml:space="preserve">Block 5. Government and Central Bank</w:t>
      </w:r>
    </w:p>
    <w:p>
      <w:pPr>
        <w:pStyle w:val="FirstParagraph"/>
      </w:pPr>
      <w:r>
        <w:t xml:space="preserve">Real government consumption grows at an exogenous rate: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</m:e>
          </m:d>
        </m:oMath>
      </m:oMathPara>
    </w:p>
    <w:p>
      <w:pPr>
        <w:pStyle w:val="FirstParagraph"/>
      </w:pPr>
      <w:r>
        <w:t xml:space="preserve">Government investment replaces its depreciated capital, plus an autonomous component: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δ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k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d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The submitted code already carried government investment; the description did not. In the</w:t>
      </w:r>
      <w:r>
        <w:t xml:space="preserve"> </w:t>
      </w:r>
      <w:r>
        <w:t xml:space="preserve">results reported,</w:t>
      </w:r>
      <w:r>
        <w:t xml:space="preserve"> </w:t>
      </w:r>
      <m:oMath>
        <m:sSubSup>
          <m:e>
            <m:r>
              <m:t>δ</m:t>
            </m:r>
          </m:e>
          <m:sub>
            <m:r>
              <m:t>g</m:t>
            </m:r>
          </m:sub>
          <m:sup>
            <m:r>
              <m:t>z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= 50 (EU) and 230 (RoW) per period, 20% of 2011</w:t>
      </w:r>
      <w:r>
        <w:t xml:space="preserve"> </w:t>
      </w:r>
      <w:r>
        <w:t xml:space="preserve">gross fixed capital formation, so government investment is constant at that level. (The other 80% is</w:t>
      </w:r>
      <w:r>
        <w:t xml:space="preserve"> </w:t>
      </w:r>
      <w:r>
        <w:t xml:space="preserve">the private investment target.) The public capital stock</w:t>
      </w:r>
      <w:r>
        <w:t xml:space="preserve"> </w:t>
      </w:r>
      <m:oMath>
        <m:sSubSup>
          <m:e>
            <m:r>
              <m:t>k</m:t>
            </m:r>
          </m:e>
          <m:sub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then grows without limit, but no</w:t>
      </w:r>
      <w:r>
        <w:t xml:space="preserve"> </w:t>
      </w:r>
      <w:r>
        <w:t xml:space="preserve">other equation reads it.</w:t>
      </w:r>
    </w:p>
    <w:p>
      <w:pPr>
        <w:pStyle w:val="BodyText"/>
      </w:pPr>
      <w:r>
        <w:t xml:space="preserve">Income taxes are levied at average rates on labour and capital incomes: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e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θ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I</m:t>
              </m:r>
              <m:sSup>
                <m:e>
                  <m:r>
                    <m:t>V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</m:e>
          </m:d>
        </m:oMath>
      </m:oMathPara>
    </w:p>
    <w:p>
      <w:pPr>
        <w:pStyle w:val="FirstParagraph"/>
      </w:pPr>
      <w:r>
        <w:t xml:space="preserve">Two debt-stabilising fiscal rules are available, a lump-sum tax and a tax-rate rule. Both are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t xml:space="preserve">) in every result reported: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ψ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b</m:t>
                  </m:r>
                </m:e>
              </m:acc>
              <m:r>
                <m:t> 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e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θ</m:t>
              </m:r>
            </m:e>
            <m:sub>
              <m:r>
                <m:t>w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ψ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5.2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VAT is paid by households on the duty-inclusive price; tariffs fall on the customs value of every</w:t>
      </w:r>
      <w:r>
        <w:t xml:space="preserve"> </w:t>
      </w:r>
      <w:r>
        <w:t xml:space="preserve">imported unit, intermediate and final: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 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β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Sup>
                <m:e>
                  <m:r>
                    <m:t>τ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 </m:t>
          </m:r>
          <m:r>
            <m:t>C</m:t>
          </m:r>
          <m:sSubSup>
            <m:e>
              <m:r>
                <m:t>V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5.4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tariff base was a real volume valued at a price that included the</w:t>
      </w:r>
      <w:r>
        <w:t xml:space="preserve"> </w:t>
      </w:r>
      <w:r>
        <w:t xml:space="preserve">exporter’s VAT. Under the consistent valuation,</w:t>
      </w:r>
      <w:r>
        <w:t xml:space="preserve"> </w:t>
      </w:r>
      <m:oMath>
        <m:r>
          <m:t>C</m:t>
        </m:r>
        <m:sSubSup>
          <m:e>
            <m:r>
              <m:t>V</m:t>
            </m:r>
          </m:e>
          <m:sub>
            <m:r>
              <m:t>s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the pre-duty value of the import (9.1b),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m</m:t>
            </m:r>
          </m:e>
          <m:sub>
            <m:r>
              <m:t>s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the total import of good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(9.1c).</w:t>
      </w:r>
    </w:p>
    <w:p>
      <w:pPr>
        <w:pStyle w:val="BodyText"/>
      </w:pPr>
      <w:r>
        <w:t xml:space="preserve">The government deficit, the stock of bills and the debt ratio are: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c</m:t>
              </m:r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t>A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debt_gdp</m:t>
          </m:r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r>
            <m:t>V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(5.5).</w:t>
      </w:r>
      <w:r>
        <w:t xml:space="preserve"> </w:t>
      </w:r>
      <w:r>
        <w:t xml:space="preserve">Government investment is added to the deficit.</w:t>
      </w:r>
    </w:p>
    <w:p>
      <w:pPr>
        <w:pStyle w:val="BodyText"/>
      </w:pPr>
      <w:r>
        <w:t xml:space="preserve">Advances, cash and bills are supplied on demand, and the central bank’s profit returns to the</w:t>
      </w:r>
      <w:r>
        <w:t xml:space="preserve"> </w:t>
      </w:r>
      <w:r>
        <w:t xml:space="preserve">treasury: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d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5.7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5.7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</m:e>
          </m:d>
        </m:oMath>
      </m:oMathPara>
    </w:p>
    <w:p>
      <w:pPr>
        <w:pStyle w:val="FirstParagraph"/>
      </w:pPr>
      <w:r>
        <w:t xml:space="preserve">The policy rate is exogenous, and the other interest rates are mark-ups over it: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5.9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l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μ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5.13</m:t>
              </m:r>
            </m:e>
          </m:d>
        </m:oMath>
      </m:oMathPara>
    </w:p>
    <w:bookmarkEnd w:id="29"/>
    <w:bookmarkStart w:id="30" w:name="X06d20eb2f32f35acb95fbe1b0a352f0bd777a0c"/>
    <w:p>
      <w:pPr>
        <w:pStyle w:val="Heading1"/>
      </w:pPr>
      <w:r>
        <w:t xml:space="preserve">Block 6. Population and the Labour Market</w:t>
      </w:r>
    </w:p>
    <w:p>
      <w:pPr>
        <w:pStyle w:val="FirstParagraph"/>
      </w:pPr>
      <w:r>
        <w:t xml:space="preserve">Employment, the wage bill and the labour force are as in the submitted description: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p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sSubSup>
            <m:e>
              <m:r>
                <m:t>B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O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O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p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P</m:t>
              </m:r>
              <m:r>
                <m:t>O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M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P</m:t>
          </m:r>
          <m:r>
            <m:t>O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u</m:t>
          </m:r>
          <m:sSubSup>
            <m:e>
              <m:r>
                <m:t>n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i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0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ρ</m:t>
              </m:r>
            </m:e>
            <m:sub>
              <m:r>
                <m:t>1</m:t>
              </m:r>
              <m:r>
                <m:t>j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6.8</m:t>
              </m:r>
            </m:e>
          </m:d>
        </m:oMath>
      </m:oMathPara>
    </w:p>
    <w:p>
      <w:pPr>
        <w:pStyle w:val="FirstParagraph"/>
      </w:pPr>
      <w:r>
        <w:t xml:space="preserve">Female employment is reported by industry and in total: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ρ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6.2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sSubSup>
          <m:e>
            <m:r>
              <m:t>r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is output per employee,</w:t>
      </w:r>
      <w:r>
        <w:t xml:space="preserve"> </w:t>
      </w:r>
      <m:oMath>
        <m:sSubSup>
          <m:e>
            <m:r>
              <m:t>w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the money wage, and the immigration coefficients</w:t>
      </w:r>
      <w: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m</m:t>
            </m:r>
            <m:r>
              <m:t>m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zero in the results reported.</w:t>
      </w:r>
    </w:p>
    <w:p>
      <w:pPr>
        <w:pStyle w:val="BodyText"/>
      </w:pPr>
      <w:r>
        <w:t xml:space="preserve">The money wage is one per area, fixed at the 2011 employment-weighted mean of the industry wages: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t>b</m:t>
                      </m:r>
                    </m:sup>
                  </m:sSubSup>
                </m:e>
              </m:nary>
              <m:r>
                <m:t> </m:t>
              </m:r>
              <m:sSubSup>
                <m:e>
                  <m:r>
                    <m:t>N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2011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2011</m:t>
                      </m:r>
                    </m:sup>
                  </m:sSubSup>
                </m:e>
              </m:nary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constant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6.9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New.</w:t>
      </w:r>
      <w:r>
        <w:t xml:space="preserve"> </w:t>
      </w:r>
      <w:r>
        <w:t xml:space="preserve">The submitted description has no money-wage equation; the code held each industry’s wage at</w:t>
      </w:r>
      <w:r>
        <w:t xml:space="preserve"> </w:t>
      </w:r>
      <w:r>
        <w:t xml:space="preserve">its 2011 value. A single wage per area is what a uniform rate of profit requires (Block 8). It is</w:t>
      </w:r>
      <w:r>
        <w:t xml:space="preserve"> </w:t>
      </w:r>
      <w:r>
        <w:t xml:space="preserve">anchored at its 2011 mean, because re-averaging it each period with current employment weights let</w:t>
      </w:r>
      <w:r>
        <w:t xml:space="preserve"> </w:t>
      </w:r>
      <w:r>
        <w:t xml:space="preserve">the wage, and with it the whole price level, drift with the employment mix (by −11% in the EU and</w:t>
      </w:r>
      <w:r>
        <w:t xml:space="preserve"> </w:t>
      </w:r>
      <w:r>
        <w:t xml:space="preserve">−43% in RoW over a run).</w:t>
      </w:r>
    </w:p>
    <w:bookmarkEnd w:id="30"/>
    <w:bookmarkStart w:id="31" w:name="block-7.-portfolio-choices"/>
    <w:p>
      <w:pPr>
        <w:pStyle w:val="Heading1"/>
      </w:pPr>
      <w:r>
        <w:t xml:space="preserve">Block 7. Portfolio Choices</w:t>
      </w:r>
    </w:p>
    <w:p>
      <w:pPr>
        <w:pStyle w:val="FirstParagraph"/>
      </w:pPr>
      <w:r>
        <w:t xml:space="preserve">Households hold five assets: domestic bills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z</m:t>
            </m:r>
          </m:sup>
        </m:sSubSup>
      </m:oMath>
      <w:r>
        <w:t xml:space="preserve">, foreign bills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f</m:t>
            </m:r>
          </m:sup>
        </m:sSubSup>
      </m:oMath>
      <w:r>
        <w:t xml:space="preserve">, domestic shares</w:t>
      </w:r>
      <w:r>
        <w:t xml:space="preserve"> </w:t>
      </w:r>
      <m:oMath>
        <m:sSubSup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z</m:t>
            </m:r>
          </m:sup>
        </m:sSubSup>
      </m:oMath>
      <w:r>
        <w:t xml:space="preserve">, foreign shares</w:t>
      </w:r>
      <w:r>
        <w:t xml:space="preserve"> </w:t>
      </w:r>
      <m:oMath>
        <m:sSubSup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z</m:t>
            </m:r>
          </m:sub>
          <m:sup>
            <m:r>
              <m:t>f</m:t>
            </m:r>
          </m:sup>
        </m:sSubSup>
      </m:oMath>
      <w:r>
        <w:t xml:space="preserve">, and deposits. Their demand for the first four, as shares of</w:t>
      </w:r>
      <w:r>
        <w:t xml:space="preserve"> </w:t>
      </w:r>
      <w:r>
        <w:t xml:space="preserve">net wealth, is a Tobinesque portfolio equation: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f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z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E</m:t>
              </m:r>
              <m:r>
                <m:rPr>
                  <m:sty m:val="p"/>
                </m:rPr>
                <m:t>,</m:t>
              </m:r>
              <m:r>
                <m:t>0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r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</m:sSub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z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7.4</m:t>
              </m:r>
            </m:e>
          </m:d>
        </m:oMath>
      </m:oMathPara>
    </w:p>
    <w:p>
      <w:pPr>
        <w:pStyle w:val="FirstParagraph"/>
      </w:pPr>
      <w:r>
        <w:t xml:space="preserve">where, for each area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"/>
          </m:rP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e</m:t>
                </m:r>
              </m:sub>
              <m:sup>
                <m:r>
                  <m:t>1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m</m:t>
                </m:r>
              </m:sub>
              <m:sup>
                <m:r>
                  <m:t>z</m:t>
                </m:r>
              </m:sup>
            </m:sSubSup>
          </m:e>
        </m:d>
      </m:oMath>
      <w:r>
        <w:t xml:space="preserve"> </w:t>
      </w:r>
      <w:r>
        <w:t xml:space="preserve">is the vector of the five assets’ rates of</w:t>
      </w:r>
      <w:r>
        <w:t xml:space="preserve"> </w:t>
      </w:r>
      <w:r>
        <w:t xml:space="preserve">return, each foreign asset including the realised currency gain</w:t>
      </w:r>
      <w:r>
        <w:t xml:space="preserve"> </w:t>
      </w:r>
      <m:oMath>
        <m:r>
          <m:t>Δ</m:t>
        </m:r>
        <m:r>
          <m:t>x</m:t>
        </m:r>
        <m:sSup>
          <m:e>
            <m:r>
              <m:t>r</m:t>
            </m:r>
          </m:e>
          <m:sup>
            <m:r>
              <m:t>f</m:t>
            </m:r>
          </m:sup>
        </m:sSup>
        <m:r>
          <m:rPr>
            <m:sty m:val="p"/>
          </m:rPr>
          <m:t>/</m:t>
        </m:r>
        <m:r>
          <m:t>x</m:t>
        </m:r>
        <m:sSup>
          <m:e>
            <m:r>
              <m:t>r</m:t>
            </m:r>
          </m:e>
          <m:sup>
            <m:r>
              <m:t>f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r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are the returns and the portfolio shares at the start of the</w:t>
      </w:r>
      <w:r>
        <w:t xml:space="preserve"> </w:t>
      </w:r>
      <w:r>
        <w:t xml:space="preserve">experiment, read from the last period of the initial run (Block 0);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one scale parameter, and the subscript on the bracket picks the row of the asset</w:t>
      </w:r>
      <w:r>
        <w:t xml:space="preserve"> </w:t>
      </w:r>
      <w:r>
        <w:t xml:space="preserve">concerned.</w:t>
      </w:r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(7.1)–(7.4) carry 48 rate and income coefficients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all of</w:t>
      </w:r>
      <w:r>
        <w:t xml:space="preserve"> </w:t>
      </w:r>
      <w:r>
        <w:t xml:space="preserve">which were zero in the submitted calibration; the portfolio was a set of constant shares. Here the</w:t>
      </w:r>
      <w:r>
        <w:t xml:space="preserve"> </w:t>
      </w:r>
      <w:r>
        <w:t xml:space="preserve">constant shares</w:t>
      </w:r>
      <w:r>
        <w:t xml:space="preserve"> </w:t>
      </w:r>
      <m:oMath>
        <m:sSup>
          <m:e>
            <m:r>
              <m:t>λ</m:t>
            </m:r>
          </m:e>
          <m:sup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λ</m:t>
            </m:r>
          </m:e>
          <m:sup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 </w:t>
      </w:r>
      <w:r>
        <w:t xml:space="preserve">are kept and the 48 coefficients are replaced by</w:t>
      </w:r>
      <w:r>
        <w:t xml:space="preserve"> </w:t>
      </w:r>
      <w:r>
        <w:t xml:space="preserve">one matrix,</w:t>
      </w:r>
      <w:r>
        <w:t xml:space="preserve"> </w:t>
      </w:r>
      <m:oMath>
        <m:sSub>
          <m:e>
            <m:r>
              <m:t>Λ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t> 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</m:sSub>
            <m:sSubSup>
              <m:e>
                <m:r>
                  <m:rPr>
                    <m:sty m:val="b"/>
                  </m:rPr>
                  <m:t>w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d>
      </m:oMath>
      <w:r>
        <w:t xml:space="preserve">. By</w:t>
      </w:r>
      <w:r>
        <w:t xml:space="preserve"> </w:t>
      </w:r>
      <w:r>
        <w:t xml:space="preserve">construction:</w:t>
      </w:r>
    </w:p>
    <w:p>
      <w:pPr>
        <w:pStyle w:val="Compact"/>
        <w:numPr>
          <w:ilvl w:val="0"/>
          <w:numId w:val="1004"/>
        </w:numPr>
      </w:pPr>
      <w:r>
        <w:t xml:space="preserve">it is symmetric, so the cross-effects are reciprocal;</w:t>
      </w:r>
    </w:p>
    <w:p>
      <w:pPr>
        <w:pStyle w:val="Compact"/>
        <w:numPr>
          <w:ilvl w:val="0"/>
          <w:numId w:val="1004"/>
        </w:numPr>
      </w:pPr>
      <w:r>
        <w:t xml:space="preserve">its rows and columns sum to zero, so the five shares still add up to one;</w:t>
      </w:r>
    </w:p>
    <w:p>
      <w:pPr>
        <w:pStyle w:val="Compact"/>
        <w:numPr>
          <w:ilvl w:val="0"/>
          <w:numId w:val="1004"/>
        </w:numPr>
      </w:pPr>
      <w:r>
        <w:t xml:space="preserve">its own-return entries are positive and its cross-return entries negative;</w:t>
      </w:r>
    </w:p>
    <w:p>
      <w:pPr>
        <w:pStyle w:val="Compact"/>
        <w:numPr>
          <w:ilvl w:val="0"/>
          <w:numId w:val="1004"/>
        </w:numPr>
      </w:pPr>
      <w:r>
        <w:t xml:space="preserve">it is zero at the starting returns, so the baseline portfolio is the observed one.</w:t>
      </w:r>
    </w:p>
    <w:p>
      <w:pPr>
        <w:pStyle w:val="FirstParagraph"/>
      </w:pPr>
      <w:r>
        <w:t xml:space="preserve">These are the adding-up and symmetry conditions of Godley and Lavoie (2007, §5.6), here satisfied by</w:t>
      </w:r>
      <w:r>
        <w:t xml:space="preserve"> </w:t>
      </w:r>
      <w:r>
        <w:t xml:space="preserve">construction rather than by calibration. Two further points: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indexing.</w:t>
      </w:r>
      <w:r>
        <w:t xml:space="preserve"> </w:t>
      </w:r>
      <w:r>
        <w:t xml:space="preserve">Equity parameters are indexed by issuer and bill parameters by holder, as the</w:t>
      </w:r>
      <w:r>
        <w:t xml:space="preserve"> </w:t>
      </w:r>
      <w:r>
        <w:t xml:space="preserve">workbook labels them.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value of σ.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. The block has a lagged-return cobweb: a larger equity share</w:t>
      </w:r>
      <w:r>
        <w:t xml:space="preserve"> </w:t>
      </w:r>
      <w:r>
        <w:t xml:space="preserve">enlarges the stock of shares and so lowers the equity return. It diverges for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between</w:t>
      </w:r>
      <w:r>
        <w:t xml:space="preserve"> </w:t>
      </w:r>
      <w:r>
        <w:t xml:space="preserve">1.5 and 2. Expected depreciation is not yet modelled; only the realised currency gain enters.</w:t>
      </w:r>
    </w:p>
    <w:p>
      <w:pPr>
        <w:pStyle w:val="FirstParagraph"/>
      </w:pPr>
      <w:r>
        <w:t xml:space="preserve">Households’ demand for cash and personal loans, and deposits as the buffer stock, are as in the</w:t>
      </w:r>
      <w:r>
        <w:t xml:space="preserve"> </w:t>
      </w:r>
      <w:r>
        <w:t xml:space="preserve">submitted description: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c</m:t>
              </m:r>
            </m:sub>
            <m:sup>
              <m:r>
                <m:t>z</m:t>
              </m:r>
            </m:sup>
          </m:sSubSup>
          <m:sSubSup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z</m:t>
                  </m:r>
                </m:sup>
              </m:sSup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D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ψ</m:t>
                  </m:r>
                </m:e>
                <m:sub>
                  <m:r>
                    <m:t>2</m:t>
                  </m:r>
                </m:sub>
                <m:sup>
                  <m:r>
                    <m:t>z</m:t>
                  </m:r>
                </m:sup>
              </m:sSubSup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z</m:t>
                      </m:r>
                      <m:r>
                        <m:t>T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7.7</m:t>
              </m:r>
            </m:e>
          </m:d>
        </m:oMath>
      </m:oMathPara>
    </w:p>
    <w:bookmarkEnd w:id="31"/>
    <w:bookmarkStart w:id="32" w:name="Xa686f52e79bb6471cc7782a819a8c9948b7de52"/>
    <w:p>
      <w:pPr>
        <w:pStyle w:val="Heading1"/>
      </w:pPr>
      <w:r>
        <w:t xml:space="preserve">Block 8. Price Setting and Production Function</w:t>
      </w:r>
    </w:p>
    <w:p>
      <w:pPr>
        <w:pStyle w:val="FirstParagraph"/>
      </w:pPr>
      <w:r>
        <w:t xml:space="preserve">Firms set prices of production with a uniform rate of profit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the circulating and fixed capital</w:t>
      </w:r>
      <w:r>
        <w:t xml:space="preserve"> </w:t>
      </w:r>
      <w:r>
        <w:t xml:space="preserve">advanced. The vector of prices of production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⊘</m:t>
          </m:r>
          <m:r>
            <m:t>p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e>
          </m:d>
          <m:r>
            <m:t> 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Ξ</m:t>
              </m:r>
              <m:r>
                <m:rPr>
                  <m:sty m:val="p"/>
                </m:rPr>
                <m:t>⊙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converts the cost of each imported input into the buying area’s currency at the price</w:t>
      </w:r>
      <w:r>
        <w:t xml:space="preserve"> </w:t>
      </w:r>
      <w:r>
        <w:t xml:space="preserve">its firms pay (8.S7),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matrix of fixed capital used up per unit of output.</w:t>
      </w:r>
    </w:p>
    <w:p>
      <w:pPr>
        <w:pStyle w:val="BodyText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submitted (8.1) set industry-specific mark-ups</w:t>
      </w:r>
      <w:r>
        <w:t xml:space="preserve"> </w:t>
      </w:r>
      <m:oMath>
        <m:sSubSup>
          <m:e>
            <m:r>
              <m:t>μ</m:t>
            </m:r>
          </m:e>
          <m:sub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over unit costs and</w:t>
      </w:r>
      <w:r>
        <w:t xml:space="preserve"> </w:t>
      </w:r>
      <w:r>
        <w:t xml:space="preserve">industry-specific wages, so that</w:t>
      </w:r>
      <w:r>
        <w:t xml:space="preserve"> </w:t>
      </w:r>
      <w:r>
        <w:t xml:space="preserve">“industry-specific wage and profit rates do not level out”</w:t>
      </w:r>
      <w:r>
        <w:t xml:space="preserve">. Here the</w:t>
      </w:r>
      <w:r>
        <w:t xml:space="preserve"> </w:t>
      </w:r>
      <w:r>
        <w:t xml:space="preserve">rate of profit is uniform across industries and areas, and the money wage is one per area (6.9).</w:t>
      </w:r>
      <w:r>
        <w:t xml:space="preserve"> </w:t>
      </w:r>
      <w:r>
        <w:t xml:space="preserve">Prices are in money units, at the money wage.</w:t>
      </w:r>
    </w:p>
    <w:p>
      <w:pPr>
        <w:pStyle w:val="BodyText"/>
      </w:pPr>
      <w:r>
        <w:t xml:space="preserve">The fixed capital used up per unit of output is the empirical capital-flow matrix: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/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K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t>F</m:t>
          </m:r>
          <m:r>
            <m:t>C</m:t>
          </m:r>
          <m:r>
            <m:rPr>
              <m:sty m:val="p"/>
            </m:rPr>
            <m:t>⊘</m:t>
          </m:r>
          <m:r>
            <m:t>x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consumption of fixed capital of industry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that consists of product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(EXIOBASE 2011, both origins) and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consumption of fixed capital per unit of output.</w:t>
      </w:r>
    </w:p>
    <w:p>
      <w:pPr>
        <w:pStyle w:val="BodyText"/>
      </w:pPr>
      <w:r>
        <w:t xml:space="preserve">The rate of profit follows the money rate of interest (Sraffa 1960, §44; Pivetti 1991): the</w:t>
      </w:r>
      <w:r>
        <w:t xml:space="preserve"> </w:t>
      </w:r>
      <w:r>
        <w:t xml:space="preserve">value-added-weighted bill rate plus a normal profit of enterprise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r>
                <m:t>V</m:t>
              </m:r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e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0.2222</m:t>
        </m:r>
      </m:oMath>
      <w:r>
        <w:t xml:space="preserve">. It is not a free parameter: it is the value at which the prices of production</w:t>
      </w:r>
      <w:r>
        <w:t xml:space="preserve"> </w:t>
      </w:r>
      <w:r>
        <w:t xml:space="preserve">reproduce the observed 2011 price level at the observed output mix (</w:t>
      </w:r>
      <m:oMath>
        <m:r>
          <m:rPr>
            <m:sty m:val="p"/>
          </m:rPr>
          <m:t>∑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x</m:t>
        </m:r>
      </m:oMath>
      <w:r>
        <w:t xml:space="preserve">).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set by the interest rate, distribution is an outcome. The maximum rate of profit, the</w:t>
      </w:r>
      <w:r>
        <w:t xml:space="preserve"> </w:t>
      </w:r>
      <w:r>
        <w:t xml:space="preserve">standard commodity, and the profit share of the standard net product are: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−</m:t>
          </m:r>
          <m:r>
            <m:t>1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s</m:t>
              </m:r>
              <m:r>
                <m:t>t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/</m:t>
          </m:r>
          <m:r>
            <m:t>R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t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5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are the Perron eigenvalue and right eigenvector.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read on the technique as operated, including its split between origins, but</w:t>
      </w:r>
      <w:r>
        <w:t xml:space="preserve"> </w:t>
      </w:r>
      <w:r>
        <w:t xml:space="preserve">without</w:t>
      </w:r>
      <w:r>
        <w:t xml:space="preserve"> </w:t>
      </w:r>
      <m:oMath>
        <m:r>
          <m:t>Ξ</m:t>
        </m:r>
      </m:oMath>
      <w:r>
        <w:t xml:space="preserve">: the exchange rate and duties are valuation, not technique.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d</m:t>
            </m:r>
          </m:sub>
        </m:sSub>
      </m:oMath>
      <w:r>
        <w:t xml:space="preserve">, the money value</w:t>
      </w:r>
      <w:r>
        <w:t xml:space="preserve"> </w:t>
      </w:r>
      <w:r>
        <w:t xml:space="preserve">of the standard gross product, is a measure of the price level, not a normalisation.</w:t>
      </w:r>
    </w:p>
    <w:p>
      <w:pPr>
        <w:pStyle w:val="BodyText"/>
      </w:pPr>
      <w:r>
        <w:t xml:space="preserve">Buyers pay different prices for the same good. Households pay the duty-inclusive import price</w:t>
      </w:r>
      <w:r>
        <w:t xml:space="preserve"> </w:t>
      </w:r>
      <w:r>
        <w:t xml:space="preserve">grossed up by VAT; firms and government pay it without VAT: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h</m:t>
              </m:r>
              <m:r>
                <m:t>h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and an imported input enters the cost of production at the price the buying area’s firms pay: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t> </m:t>
              </m:r>
              <m:r>
                <m:rPr>
                  <m:nor/>
                  <m:sty m:val="p"/>
                </m:rPr>
                <m:t>same region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ϕ</m:t>
                  </m:r>
                </m:e>
                <m:sup>
                  <m:r>
                    <m:t>z</m:t>
                  </m:r>
                </m:sup>
              </m:sSup>
              <m:sSubSup>
                <m:e>
                  <m:r>
                    <m:t>τ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j</m:t>
              </m:r>
              <m:r>
                <m:rPr>
                  <m:sty m:val="p"/>
                </m:rPr>
                <m:t>∈</m:t>
              </m:r>
              <m:r>
                <m:t>z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.</m:t>
              </m:r>
              <m:r>
                <m:t>S</m:t>
              </m:r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Potential output and market prices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p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r>
            <m:t>P</m:t>
          </m:r>
          <m:r>
            <m:t>O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z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x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(8.3).</w:t>
      </w:r>
      <w:r>
        <w:t xml:space="preserve"> </w:t>
      </w:r>
      <w:r>
        <w:t xml:space="preserve">Market prices are basic prices: VAT is no longer inside</w:t>
      </w:r>
      <w:r>
        <w:t xml:space="preserve"> </w:t>
      </w:r>
      <m:oMath>
        <m:sSup>
          <m:e>
            <m:r>
              <m:t>p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but in the</w:t>
      </w:r>
      <w:r>
        <w:t xml:space="preserve"> </w:t>
      </w:r>
      <w:r>
        <w:t xml:space="preserve">household buyer price (8.S6) and in the VAT base (5.3).</w:t>
      </w:r>
    </w:p>
    <w:p>
      <w:pPr>
        <w:pStyle w:val="BodyText"/>
      </w:pPr>
      <w:r>
        <w:t xml:space="preserve">The average prices that turn each component of demand into real terms 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τ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β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ι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bSup>
            <m:e>
              <m:acc>
                <m:accPr>
                  <m:chr m:val="̃"/>
                </m:accPr>
                <m:e>
                  <m:r>
                    <m:t>ι</m:t>
                  </m:r>
                </m:e>
              </m:acc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t>x</m:t>
                      </m:r>
                    </m:e>
                  </m:d>
                </m:e>
                <m:sup>
                  <m:r>
                    <m:t>z</m:t>
                  </m:r>
                </m:sup>
              </m:sSup>
            </m:num>
            <m:den>
              <m:sSup>
                <m:e>
                  <m:r>
                    <m:rPr>
                      <m:sty m:val="b"/>
                    </m:rPr>
                    <m:t>1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t>x</m:t>
                      </m:r>
                    </m:e>
                  </m:d>
                </m:e>
                <m:sup>
                  <m:r>
                    <m:t>z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8.5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σ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M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I</m:t>
              </m:r>
              <m:r>
                <m:t>M</m:t>
              </m:r>
              <m:sSup>
                <m:e>
                  <m:r>
                    <m:t>P</m:t>
                  </m:r>
                </m:e>
                <m:sup>
                  <m:r>
                    <m:t>z</m:t>
                  </m:r>
                </m:sup>
              </m:sSup>
            </m:num>
            <m:den>
              <m:r>
                <m:t>i</m:t>
              </m:r>
              <m:r>
                <m:t>m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8.7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Each average price is taken over the buyer prices that the buyer concerned actually</w:t>
      </w:r>
      <w:r>
        <w:t xml:space="preserve"> </w:t>
      </w:r>
      <w:r>
        <w:t xml:space="preserve">pays, from either origin: households with VAT, firms and government without. The import price is</w:t>
      </w:r>
      <w:r>
        <w:t xml:space="preserve"> </w:t>
      </w:r>
      <w:r>
        <w:t xml:space="preserve">nominal imports over real imports.</w:t>
      </w:r>
      <w:r>
        <w:t xml:space="preserve"> </w:t>
      </w:r>
      <m:oMath>
        <m:sSubSup>
          <m:e>
            <m:r>
              <m:t>p</m:t>
            </m:r>
          </m:e>
          <m:sub>
            <m:r>
              <m:t>r</m:t>
            </m:r>
            <m:r>
              <m:t>e</m:t>
            </m:r>
            <m:r>
              <m:t>p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prices the replacement bundle</w:t>
      </w:r>
      <w:r>
        <w:t xml:space="preserve"> </w:t>
      </w:r>
      <m:oMath>
        <m:r>
          <m:t>K</m:t>
        </m:r>
        <m:r>
          <m:t>x</m:t>
        </m:r>
      </m:oMath>
      <w:r>
        <w:t xml:space="preserve"> </w:t>
      </w:r>
      <w:r>
        <w:t xml:space="preserve">(2.1), 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government investment.</w:t>
      </w:r>
    </w:p>
    <w:bookmarkEnd w:id="32"/>
    <w:bookmarkStart w:id="33" w:name="block-9.-the-balance-of-payments"/>
    <w:p>
      <w:pPr>
        <w:pStyle w:val="Heading1"/>
      </w:pPr>
      <w:r>
        <w:t xml:space="preserve">Block 9. The Balance of Payments</w:t>
      </w:r>
    </w:p>
    <w:p>
      <w:pPr>
        <w:pStyle w:val="FirstParagraph"/>
      </w:pPr>
      <w:r>
        <w:t xml:space="preserve">Imports are no longer an estimated function. They are read from the input–output structure, at</w:t>
      </w:r>
      <w:r>
        <w:t xml:space="preserve"> </w:t>
      </w:r>
      <w:r>
        <w:t xml:space="preserve">prices that include duties: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ϕ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τ</m:t>
                  </m:r>
                </m:e>
                <m:sup>
                  <m:r>
                    <m:t>z</m:t>
                  </m:r>
                </m:sup>
              </m:s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t>I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/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τ</m:t>
                  </m:r>
                </m:e>
                <m:sup>
                  <m:r>
                    <m:t>z</m:t>
                  </m:r>
                </m:sup>
              </m:s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ι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</m:e>
          </m:d>
          <m:r>
            <m:rPr>
              <m:sty m:val="p"/>
            </m:rPr>
            <m:t>+</m:t>
          </m:r>
          <m:sSubSup>
            <m:e>
              <m:r>
                <m:t>ι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s</m:t>
              </m:r>
            </m:sub>
            <m:sup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sup>
          </m:sSubSup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share of the duty borne by the importer (0.5 in both areas),</w:t>
      </w:r>
      <w:r>
        <w:t xml:space="preserve"> </w:t>
      </w:r>
      <m:oMath>
        <m:r>
          <m:t>C</m:t>
        </m:r>
        <m:r>
          <m:t>I</m:t>
        </m:r>
        <m:sSup>
          <m:e>
            <m:r>
              <m:t>F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duty-inclusive import price and</w:t>
      </w:r>
      <w:r>
        <w:t xml:space="preserve"> </w:t>
      </w:r>
      <m:oMath>
        <m:r>
          <m:t>C</m:t>
        </m:r>
        <m:sSup>
          <m:e>
            <m:r>
              <m:t>V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the customs value. Total imports of good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intermediate</w:t>
      </w:r>
      <w:r>
        <w:t xml:space="preserve"> </w:t>
      </w:r>
      <w:r>
        <w:t xml:space="preserve">inputs, replacement of fixed capital, and the foreign-origin part of each final demand.</w:t>
      </w:r>
    </w:p>
    <w:p>
      <w:pPr>
        <w:pStyle w:val="BodyText"/>
      </w:pPr>
      <w:r>
        <w:t xml:space="preserve">The split of each final-demand share between origins responds to the change in relative buyer prices</w:t>
      </w:r>
      <w:r>
        <w:t xml:space="preserve"> </w:t>
      </w:r>
      <w:r>
        <w:t xml:space="preserve">since period 1 (Armington):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o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  <m:sup>
                          <m:r>
                            <m:t>z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d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α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0.626</m:t>
        </m:r>
      </m:oMath>
      <w:r>
        <w:t xml:space="preserve"> </w:t>
      </w:r>
      <w:r>
        <w:t xml:space="preserve">in both areas. The total share of each good is preserved, so that the origin</w:t>
      </w:r>
      <w:r>
        <w:t xml:space="preserve"> </w:t>
      </w:r>
      <w:r>
        <w:t xml:space="preserve">split cannot undo a scenario’s substitution between goods.</w:t>
      </w:r>
    </w:p>
    <w:p>
      <w:pPr>
        <w:pStyle w:val="BodyText"/>
      </w:pPr>
      <w:r>
        <w:t xml:space="preserve">Real final imports are the foreign-origin part of final demand: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p>
                    <m:e>
                      <m:r>
                        <m:t>c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ι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ι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g</m:t>
                      </m:r>
                    </m:sub>
                    <m:sup>
                      <m:r>
                        <m:t>z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p>
                  </m:sSubSup>
                  <m:r>
                    <m:t>g</m:t>
                  </m:r>
                  <m:r>
                    <m:t>o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z</m:t>
                      </m:r>
                    </m:sup>
                  </m:sSup>
                </m:e>
              </m:d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9.1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(9.1).</w:t>
      </w:r>
      <w:r>
        <w:t xml:space="preserve"> </w:t>
      </w:r>
      <w:r>
        <w:t xml:space="preserve">The submitted log-linear import function, with its estimated parameters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, is retired. Imports follow from the input–output structure and the origin</w:t>
      </w:r>
      <w:r>
        <w:t xml:space="preserve"> </w:t>
      </w:r>
      <w:r>
        <w:t xml:space="preserve">shares, so that what one area imports is what the other produces for it.</w:t>
      </w:r>
    </w:p>
    <w:p>
      <w:pPr>
        <w:pStyle w:val="BodyText"/>
      </w:pPr>
      <w:r>
        <w:t xml:space="preserve">Nominal imports, exports, and the trade balance are: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sSubSup>
            <m:e>
              <m:r>
                <m:t>V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 </m:t>
          </m:r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i</m:t>
          </m:r>
          <m:r>
            <m:t>m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9.3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⋅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E</m:t>
          </m:r>
          <m:r>
            <m:t>X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I</m:t>
          </m:r>
          <m:r>
            <m:t>M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9.5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(9.2).</w:t>
      </w:r>
      <w:r>
        <w:t xml:space="preserve"> </w:t>
      </w:r>
      <w:r>
        <w:t xml:space="preserve">Imports are valued at their customs value, and include intermediate imports.</w:t>
      </w:r>
    </w:p>
    <w:p>
      <w:pPr>
        <w:pStyle w:val="BodyText"/>
      </w:pPr>
      <w:r>
        <w:t xml:space="preserve">The current account, the financial account and the net accumulation of financial assets are: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T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f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f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z</m:t>
                  </m:r>
                </m:sup>
              </m:sSup>
            </m:e>
          </m:d>
          <m:r>
            <m:t>F</m:t>
          </m:r>
          <m:sSup>
            <m:e>
              <m:r>
                <m:t>F</m:t>
              </m:r>
            </m:e>
            <m:sup>
              <m:r>
                <m:t>z</m:t>
              </m:r>
            </m:sup>
          </m:sSup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sSubSup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t>A</m:t>
          </m:r>
          <m:r>
            <m:t>B</m:t>
          </m:r>
          <m:sSup>
            <m:e>
              <m:r>
                <m:t>P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Δ</m:t>
          </m:r>
          <m:sSubSup>
            <m:e>
              <m: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A</m:t>
          </m:r>
          <m:r>
            <m:t>F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C</m:t>
          </m:r>
          <m:r>
            <m:t>A</m:t>
          </m:r>
          <m:sSup>
            <m:e>
              <m:r>
                <m:t>B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9.8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(9.6).</w:t>
      </w:r>
      <w:r>
        <w:t xml:space="preserve"> </w:t>
      </w:r>
      <w:r>
        <w:t xml:space="preserve">Interest on foreign bills, and on the central bank’s foreign reserves, is</w:t>
      </w:r>
      <w:r>
        <w:t xml:space="preserve"> </w:t>
      </w:r>
      <w:r>
        <w:t xml:space="preserve">converted at the current exchange rate, as in (1.2).</w:t>
      </w:r>
    </w:p>
    <w:bookmarkEnd w:id="33"/>
    <w:bookmarkStart w:id="34" w:name="block-10.-exchange-rate-closure"/>
    <w:p>
      <w:pPr>
        <w:pStyle w:val="Heading1"/>
      </w:pPr>
      <w:r>
        <w:t xml:space="preserve">Block 10. Exchange Rate Closure</w:t>
      </w:r>
    </w:p>
    <w:p>
      <w:pPr>
        <w:pStyle w:val="FirstParagraph"/>
      </w:pPr>
      <w:r>
        <w:t xml:space="preserve">The exchange rate of the other area is the reciprocal of the domestic one, and under the canonical</w:t>
      </w:r>
      <w:r>
        <w:t xml:space="preserve"> </w:t>
      </w:r>
      <w:r>
        <w:t xml:space="preserve">closure it is fixed: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10.1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closure follows Godley and Lavoie’s OPENFIX (2007, §12.4), with gold as the reserve asset. Each</w:t>
      </w:r>
      <w:r>
        <w:t xml:space="preserve"> </w:t>
      </w:r>
      <w:r>
        <w:t xml:space="preserve">central bank is the residual holder of its own government’s bills: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10.3</m:t>
              </m:r>
            </m:e>
          </m:d>
        </m:oMath>
      </m:oMathPara>
    </w:p>
    <w:p>
      <w:pPr>
        <w:pStyle w:val="FirstParagraph"/>
      </w:pPr>
      <w:r>
        <w:t xml:space="preserve">Households’ foreign bills are supplied on demand, and the EU central bank’s stock of RoW bills is</w:t>
      </w:r>
      <w:r>
        <w:t xml:space="preserve"> </w:t>
      </w:r>
      <w:r>
        <w:t xml:space="preserve">held constant (zero in the workbook):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 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The balance of payments settles in gold, which earns no interest. Each central bank’s gold is the</w:t>
      </w:r>
      <w:r>
        <w:t xml:space="preserve"> </w:t>
      </w:r>
      <w:r>
        <w:t xml:space="preserve">residual of its balance sheet: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A</m:t>
                  </m:r>
                </m:e>
                <m:sub>
                  <m:r>
                    <m:t>s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f</m:t>
                      </m:r>
                    </m:sup>
                  </m:sSup>
                  <m:sSubSup>
                    <m:e>
                      <m:r>
                        <m:t>B</m:t>
                      </m:r>
                    </m:e>
                    <m:sub>
                      <m:r>
                        <m:t>c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  <m:sup>
                      <m:r>
                        <m:t>f</m:t>
                      </m:r>
                    </m:sup>
                  </m:sSubSup>
                </m:e>
              </m:d>
            </m:num>
            <m:den>
              <m:sSubSup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s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A</m:t>
                  </m:r>
                </m:e>
                <m:sub>
                  <m:r>
                    <m:t>s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Δ</m:t>
              </m:r>
              <m:sSubSup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  <m:sup>
                  <m:r>
                    <m:t>f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  <m:sup>
                  <m:r>
                    <m:t>f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10.8</m:t>
              </m:r>
            </m:e>
          </m:d>
        </m:oMath>
      </m:oMathPara>
    </w:p>
    <w:p>
      <w:pPr>
        <w:pStyle w:val="FirstParagraph"/>
      </w:pPr>
      <w:r>
        <w:t xml:space="preserve">and the redundant equation, checked and not computed, is world gold conservation: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assigned by 10.2; the redundant check is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o</m:t>
                      </m:r>
                      <m:r>
                        <m:t>r</m:t>
                      </m:r>
                    </m:sub>
                    <m:sup>
                      <m:r>
                        <m:t>z</m:t>
                      </m:r>
                    </m:sup>
                  </m:sSubSup>
                </m:e>
              </m:nary>
              <m:r>
                <m:t> </m:t>
              </m:r>
              <m:r>
                <m:t>Δ</m:t>
              </m:r>
              <m:r>
                <m:t>O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10.6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In the submitted closure, the EU central bank absorbed any change in the RoW bill market</w:t>
      </w:r>
      <w:r>
        <w:t xml:space="preserve"> </w:t>
      </w:r>
      <w:r>
        <w:t xml:space="preserve">by buying RoW bills. Those bills earn RoW interest, which returns to the EU treasury as central-bank</w:t>
      </w:r>
      <w:r>
        <w:t xml:space="preserve"> </w:t>
      </w:r>
      <w:r>
        <w:t xml:space="preserve">profit. Over a run, that circuit carried 81% of the EU deficit. Here the reserve asset earns nothing,</w:t>
      </w:r>
      <w:r>
        <w:t xml:space="preserve"> </w:t>
      </w:r>
      <w:r>
        <w:t xml:space="preserve">and each central bank’s interest stays within its own area.</w:t>
      </w:r>
    </w:p>
    <w:bookmarkEnd w:id="34"/>
    <w:bookmarkStart w:id="35" w:name="block-11.-waste-emissions"/>
    <w:p>
      <w:pPr>
        <w:pStyle w:val="Heading1"/>
      </w:pPr>
      <w:r>
        <w:t xml:space="preserve">Block 11. Waste, Emissions</w:t>
      </w:r>
    </w:p>
    <w:p>
      <w:pPr>
        <w:pStyle w:val="FirstParagraph"/>
      </w:pPr>
      <w:r>
        <w:t xml:space="preserve">Waste accumulates as goods are produced, net of what the waste-treatment industries absorb: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w</m:t>
          </m:r>
          <m:sSubSup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ζ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t>W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p>
            <m:e>
              <m:r>
                <m:t>a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t>a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11.2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Departure.</w:t>
      </w:r>
      <w:r>
        <w:t xml:space="preserve"> </w:t>
      </w:r>
      <w:r>
        <w:t xml:space="preserve">The treatment term refers to the five waste-treatment industries</w:t>
      </w:r>
      <w:r>
        <w:t xml:space="preserve"> </w:t>
      </w:r>
      <m:oMath>
        <m:r>
          <m:t>W</m:t>
        </m:r>
      </m:oMath>
      <w:r>
        <w:t xml:space="preserve">. The submitted</w:t>
      </w:r>
      <w:r>
        <w:t xml:space="preserve"> </w:t>
      </w:r>
      <w:r>
        <w:t xml:space="preserve">code referred to one industry by a stale index from the earlier five-industry model.</w:t>
      </w:r>
    </w:p>
    <w:p>
      <w:pPr>
        <w:pStyle w:val="BodyText"/>
      </w:pPr>
      <w:r>
        <w:t xml:space="preserve">Emissions, cumulative emissions, temperature, land and water are as in the submitted description: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m</m:t>
          </m:r>
          <m:r>
            <m:t>i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ε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m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e</m:t>
              </m:r>
            </m:e>
          </m:nary>
          <m:r>
            <m:t>m</m:t>
          </m:r>
          <m:r>
            <m:t>i</m:t>
          </m:r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c</m:t>
          </m:r>
          <m:sSubSup>
            <m:e>
              <m:r>
                <m:t>o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e</m:t>
          </m:r>
          <m:r>
            <m:t>m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n</m:t>
              </m:r>
              <m:r>
                <m:t>c</m:t>
              </m:r>
            </m:den>
          </m:f>
          <m:r>
            <m:rPr>
              <m:sty m:val="p"/>
            </m:rPr>
            <m:t>⋅</m:t>
          </m:r>
          <m:r>
            <m:t>t</m:t>
          </m:r>
          <m:r>
            <m:t>c</m:t>
          </m:r>
          <m:r>
            <m:t>r</m:t>
          </m:r>
          <m:r>
            <m:t>e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f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λ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a</m:t>
          </m:r>
          <m:r>
            <m:t>n</m:t>
          </m:r>
          <m:sSup>
            <m:e>
              <m:r>
                <m:t>d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t>e</m:t>
          </m:r>
          <m:sSubSup>
            <m:e>
              <m:r>
                <m:t>r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ω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t>e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t>a</m:t>
          </m:r>
          <m:r>
            <m:t>t</m:t>
          </m:r>
          <m:r>
            <m:t>e</m:t>
          </m:r>
          <m:sSubSup>
            <m:e>
              <m:r>
                <m:t>r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11.10</m:t>
              </m:r>
            </m:e>
          </m:d>
        </m:oMath>
      </m:oMathPara>
    </w:p>
    <w:bookmarkEnd w:id="35"/>
    <w:bookmarkStart w:id="36" w:name="X7970694e3a2847dd90849b4fb35f95ea62a0963"/>
    <w:p>
      <w:pPr>
        <w:pStyle w:val="Heading1"/>
      </w:pPr>
      <w:r>
        <w:t xml:space="preserve">Block 12. Matter Extraction and Energy Use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ϕ</m:t>
              </m:r>
            </m:e>
            <m:sup>
              <m:r>
                <m:t>z</m:t>
              </m:r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r</m:t>
          </m:r>
          <m:r>
            <m:t>e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r>
            <m:t>d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Sup>
                <m:e>
                  <m:r>
                    <m:t>μ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Departure (12.3).</w:t>
      </w:r>
      <w:r>
        <w:t xml:space="preserve"> </w:t>
      </w:r>
      <w:r>
        <w:t xml:space="preserve">Recycled matter includes the material content of the eight secondary-material</w:t>
      </w:r>
      <w:r>
        <w:t xml:space="preserve"> </w:t>
      </w:r>
      <w:r>
        <w:t xml:space="preserve">industries’ output. The submitted code referred to one industry by a stale index.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sSup>
            <m:e>
              <m:r>
                <m:t>s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ϕ</m:t>
              </m:r>
            </m:e>
            <m:sup>
              <m:r>
                <m:t>z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ζ</m:t>
                  </m:r>
                </m:e>
                <m:sub>
                  <m: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⊙</m:t>
              </m:r>
              <m:r>
                <m:t>d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d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c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t>ζ</m:t>
              </m:r>
            </m:e>
            <m:sub>
              <m:r>
                <m:t>d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⊙</m:t>
          </m:r>
          <m:r>
            <m:t>d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ε</m:t>
              </m:r>
            </m:e>
            <m:sup>
              <m:r>
                <m:t>z</m:t>
              </m:r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t>z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Sup>
            <m:e>
              <m:r>
                <m:t>n</m:t>
              </m:r>
            </m:e>
            <m:sub>
              <m:r>
                <m:t>R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z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ε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⊙</m:t>
              </m:r>
              <m:sSubSup>
                <m:e>
                  <m:r>
                    <m:rPr>
                      <m:sty m:val="b"/>
                    </m:rPr>
                    <m:t>η</m:t>
                  </m:r>
                </m:e>
                <m:sub>
                  <m:r>
                    <m:t>e</m:t>
                  </m:r>
                  <m:r>
                    <m:t>n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r>
            <m:t>e</m:t>
          </m:r>
          <m:sSup>
            <m:e>
              <m:r>
                <m:t>n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R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−</m:t>
          </m:r>
          <m:r>
            <m:t>m</m:t>
          </m:r>
          <m:r>
            <m:t>a</m:t>
          </m:r>
          <m:sSup>
            <m:e>
              <m:r>
                <m:t>t</m:t>
              </m:r>
            </m:e>
            <m:sup>
              <m:r>
                <m:t>f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e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n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n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12.15</m:t>
              </m:r>
            </m:e>
          </m:d>
        </m:oMath>
      </m:oMathPara>
    </w:p>
    <w:p>
      <w:pPr>
        <w:pStyle w:val="FirstParagraph"/>
      </w:pPr>
      <w:r>
        <w:t xml:space="preserve">Three equations of the submitted description are not computed by the model: the socio-economic</w:t>
      </w:r>
      <w:r>
        <w:t xml:space="preserve"> </w:t>
      </w:r>
      <w:r>
        <w:t xml:space="preserve">stock (12.6), whose line is commented out in the code, and the carbon mass of non-renewable energy</w:t>
      </w:r>
      <w:r>
        <w:t xml:space="preserve"> </w:t>
      </w:r>
      <w:r>
        <w:t xml:space="preserve">and the oxygen used in production (12.16, 12.17).</w:t>
      </w:r>
    </w:p>
    <w:bookmarkEnd w:id="36"/>
    <w:bookmarkStart w:id="37" w:name="block-13.-circular-economy-innovations"/>
    <w:p>
      <w:pPr>
        <w:pStyle w:val="Heading1"/>
      </w:pPr>
      <w:r>
        <w:t xml:space="preserve">Block 13. Circular Economy Innovations</w:t>
      </w:r>
    </w:p>
    <w:p>
      <w:pPr>
        <w:pStyle w:val="FirstParagraph"/>
      </w:pPr>
      <w:r>
        <w:t xml:space="preserve">Technical change is set by policy, at a speed that rises with government spending: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⋅</m:t>
          </m:r>
          <m:r>
            <m:t>c</m:t>
          </m:r>
          <m:sSup>
            <m:e>
              <m:r>
                <m:t>e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A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A</m:t>
              </m:r>
              <m:r>
                <m:t>0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Γ</m:t>
              </m:r>
            </m:e>
            <m:sub>
              <m:r>
                <m:t>A</m:t>
              </m:r>
            </m:sub>
            <m:sup>
              <m:r>
                <m:t>z</m:t>
              </m:r>
              <m:r>
                <m:t>T</m:t>
              </m:r>
            </m:sup>
          </m:sSubSup>
          <m:r>
            <m:rPr>
              <m:sty m:val="p"/>
            </m:rPr>
            <m:t>⋅</m:t>
          </m:r>
          <m:sSup>
            <m:e>
              <m:r>
                <m:t>σ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⋅</m:t>
          </m:r>
          <m:r>
            <m:t>g</m:t>
          </m:r>
          <m:r>
            <m:t>o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sSup>
          <m:e>
            <m:r>
              <m:t>e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switches the innovation on at the scenario’s start. The coefficients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z</m:t>
            </m:r>
          </m:sup>
        </m:sSubSup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what a scenario changes is the total input of each good per unit of output.</w:t>
      </w:r>
    </w:p>
    <w:p>
      <w:pPr>
        <w:pStyle w:val="BodyText"/>
      </w:pPr>
      <w:r>
        <w:t xml:space="preserve">How that input is split between domestic and foreign suppliers responds to relative prices, as for</w:t>
      </w:r>
      <w:r>
        <w:t xml:space="preserve"> </w:t>
      </w:r>
      <w:r>
        <w:t xml:space="preserve">final demand: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</m:e>
          </m:d>
          <m:r>
            <m:t> 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o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z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j</m:t>
          </m:r>
          <m:r>
            <m:rPr>
              <m:sty m:val="p"/>
            </m:rPr>
            <m:t>∈</m:t>
          </m:r>
          <m:r>
            <m:t>z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13.3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New (30 September 2026).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it preserves.</w:t>
      </w:r>
      <w:r>
        <w:t xml:space="preserve"> </w:t>
      </w:r>
      <w:r>
        <w:t xml:space="preserve">For each good and each using industry, the total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</m:oMath>
      <w:r>
        <w:t xml:space="preserve"> </w:t>
      </w:r>
      <w:r>
        <w:t xml:space="preserve">is preserved exactly; only its origin moves.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reads it.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what every equation that reads technical coefficients uses: (2.2),</w:t>
      </w:r>
      <w:r>
        <w:t xml:space="preserve"> </w:t>
      </w:r>
      <w:r>
        <w:t xml:space="preserve">(2.4a), (8.1), (8.S2), (8.S5), (9.1c) and (11.1).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it is needed.</w:t>
      </w:r>
      <w:r>
        <w:t xml:space="preserve"> </w:t>
      </w:r>
      <w:r>
        <w:t xml:space="preserve">With origin shares that respond to prices only in final demand, which is a</w:t>
      </w:r>
      <w:r>
        <w:t xml:space="preserve"> </w:t>
      </w:r>
      <w:r>
        <w:t xml:space="preserve">third (EU) to a half (RoW) of imports, an appreciation</w:t>
      </w:r>
      <w:r>
        <w:t xml:space="preserve"> </w:t>
      </w:r>
      <w:r>
        <w:rPr>
          <w:i/>
          <w:iCs/>
        </w:rPr>
        <w:t xml:space="preserve">raised</w:t>
      </w:r>
      <w:r>
        <w:t xml:space="preserve"> </w:t>
      </w:r>
      <w:r>
        <w:t xml:space="preserve">the appreciating area’s trade</w:t>
      </w:r>
      <w:r>
        <w:t xml:space="preserve"> </w:t>
      </w:r>
      <w:r>
        <w:t xml:space="preserve">balance. A floating exchange rate then diverged.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How the value was chosen.</w:t>
      </w:r>
      <w:r>
        <w:t xml:space="preserve"> </w:t>
      </w:r>
      <w:r>
        <w:t xml:space="preserve">1.0 is provisional. It is the smallest value tested at which an</w:t>
      </w:r>
      <w:r>
        <w:t xml:space="preserve"> </w:t>
      </w:r>
      <w:r>
        <w:t xml:space="preserve">appreciation lowers the trade balance in every run. There is no empirical estimate behind it.</w:t>
      </w:r>
    </w:p>
    <w:bookmarkEnd w:id="37"/>
    <w:bookmarkStart w:id="43" w:name="Xd787d3c4b67d1bb3e7ed66245bf1a3d9abb21eb"/>
    <w:p>
      <w:pPr>
        <w:pStyle w:val="Heading1"/>
      </w:pPr>
      <w:r>
        <w:t xml:space="preserve">Alternative external closures (under study)</w:t>
      </w:r>
    </w:p>
    <w:p>
      <w:pPr>
        <w:pStyle w:val="FirstParagraph"/>
      </w:pPr>
      <w:r>
        <w:t xml:space="preserve">The closure of Block 10 is one of six under study. Each alternative is defined by the equations it</w:t>
      </w:r>
      <w:r>
        <w:t xml:space="preserve"> </w:t>
      </w:r>
      <w:r>
        <w:t xml:space="preserve">changes; every other equation is as above. In every case the initial run of Block 0 uses the</w:t>
      </w:r>
      <w:r>
        <w:t xml:space="preserve"> </w:t>
      </w:r>
      <w:r>
        <w:t xml:space="preserve">canonical closure, and the alternative starts at period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3428"/>
        <w:gridCol w:w="35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EU/RoW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North/South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OPENFIX-gold (Block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</w:t>
            </w:r>
            <w:r>
              <w:t xml:space="preserve">: stationary, calibrated · scenarios 12/12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revised_ns</w:t>
            </w:r>
            <w:r>
              <w:t xml:space="preserve">: stationary, calibrated · scenarios 12/12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OPENFIX-fiat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revised_openfix_fiat</w:t>
            </w:r>
            <w:r>
              <w:t xml:space="preserve">: stationary baseline (knife-edge), calibrated · scenarios 12/12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revised_ns_openfix_fiat</w:t>
            </w:r>
            <w:r>
              <w:t xml:space="preserve">: stationary baseline (knife-edge), calibrated · scenarios 12/12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OPENFIXG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revised_openfixg</w:t>
            </w:r>
            <w:r>
              <w:t xml:space="preserve">: stationary · scenarios 12/12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revised_ns_openfixg</w:t>
            </w:r>
            <w:r>
              <w:t xml:space="preserve">: stationary (South adjusts) · scenarios 12/12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Quasi-float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revised_quasifloat</w:t>
            </w:r>
            <w:r>
              <w:t xml:space="preserve">: stationary baseline at par_xr 0.15 · scenarios 12/12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revised_ns_quasifloat</w:t>
            </w:r>
            <w:r>
              <w:t xml:space="preserve">: stationary baseline at par_xr 0.15 · scenarios 12/12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OPENFIXR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revised_openfixr</w:t>
            </w:r>
            <w:r>
              <w:t xml:space="preserve">: excluded, with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revised_ns_openfixr</w:t>
            </w:r>
            <w:r>
              <w:t xml:space="preserve">: excluded,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revised_openflex</w:t>
            </w:r>
            <w:r>
              <w:t xml:space="preserve">: built; solves, but xr cycles explosively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canonical OPENFLEX</w:t>
            </w:r>
          </w:p>
        </w:tc>
      </w:tr>
    </w:tbl>
    <w:p>
      <w:pPr>
        <w:pStyle w:val="BodyText"/>
      </w:pPr>
      <w:r>
        <w:t xml:space="preserve">The table is read from</w:t>
      </w:r>
      <w:r>
        <w:t xml:space="preserve"> </w:t>
      </w:r>
      <w:r>
        <w:rPr>
          <w:rStyle w:val="VerbatimChar"/>
        </w:rPr>
        <w:t xml:space="preserve">data/closure_region_progress.csv</w:t>
      </w:r>
      <w:r>
        <w:t xml:space="preserve">, the closure × region progress record,</w:t>
      </w:r>
      <w:r>
        <w:t xml:space="preserve"> </w:t>
      </w:r>
      <w:r>
        <w:t xml:space="preserve">which cites the stability run behind each cell.</w:t>
      </w:r>
      <w:r>
        <w:t xml:space="preserve"> </w:t>
      </w:r>
      <w:r>
        <w:t xml:space="preserve">“Stationary”</w:t>
      </w:r>
      <w:r>
        <w:t xml:space="preserve"> </w:t>
      </w:r>
      <w:r>
        <w:t xml:space="preserve">means a debt/VA slope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per period in both areas over periods 71–100. It describes the undisturbed baseline only; how each</w:t>
      </w:r>
      <w:r>
        <w:t xml:space="preserve"> </w:t>
      </w:r>
      <w:r>
        <w:t xml:space="preserve">closure responds to a shock has not yet been tested.</w:t>
      </w:r>
      <w:r>
        <w:t xml:space="preserve"> </w:t>
      </w:r>
      <w:r>
        <w:t xml:space="preserve">“Stationary baseline only (knife-edge)”</w:t>
      </w:r>
      <w:r>
        <w:t xml:space="preserve"> </w:t>
      </w:r>
      <w:r>
        <w:t xml:space="preserve">means</w:t>
      </w:r>
      <w:r>
        <w:t xml:space="preserve"> </w:t>
      </w:r>
      <w:r>
        <w:t xml:space="preserve">the baseline can be pinned by calibration, but the closure leaves a compounding root, so a shock</w:t>
      </w:r>
      <w:r>
        <w:t xml:space="preserve"> </w:t>
      </w:r>
      <w:r>
        <w:t xml:space="preserve">will start it moving (see OPENFIX-fiat below).</w:t>
      </w:r>
    </w:p>
    <w:bookmarkStart w:id="38" w:name="X301bcd23a298caa47149f5ce740ee81cbf435ff"/>
    <w:p>
      <w:pPr>
        <w:pStyle w:val="Heading2"/>
      </w:pPr>
      <w:r>
        <w:t xml:space="preserve">OPENFIX-fiat: reserves in interest-bearing bills</w:t>
      </w:r>
    </w:p>
    <w:p>
      <w:pPr>
        <w:pStyle w:val="FirstParagraph"/>
      </w:pPr>
      <w:r>
        <w:t xml:space="preserve">The EU central bank’s RoW bills are the moving reserve, the residual of the RoW bill market, and gold</w:t>
      </w:r>
      <w:r>
        <w:t xml:space="preserve"> </w:t>
      </w:r>
      <w:r>
        <w:t xml:space="preserve">is fixed: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x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t> </m:t>
          </m:r>
          <m:r>
            <m:t>Δ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10.8</m:t>
              </m:r>
            </m:e>
          </m:d>
        </m:oMath>
      </m:oMathPara>
    </w:p>
    <w:p>
      <w:pPr>
        <w:pStyle w:val="FirstParagraph"/>
      </w:pPr>
      <w:r>
        <w:t xml:space="preserve">with (10.6) the redundant equation again. The reserves earn RoW interest, and that interest is EU</w:t>
      </w:r>
      <w:r>
        <w:t xml:space="preserve"> </w:t>
      </w:r>
      <w:r>
        <w:t xml:space="preserve">income. A surplus therefore buys reserves, whose interest enlarges the surplus, and nothing in the</w:t>
      </w:r>
      <w:r>
        <w:t xml:space="preserve"> </w:t>
      </w:r>
      <w:r>
        <w:t xml:space="preserve">model reacts to the stock of reserves: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rest of</w:t>
      </w:r>
      <w:r>
        <w:t xml:space="preserve"> </w:t>
      </w:r>
      <w:r>
        <w:t xml:space="preserve">the current account. Before calibration, the EU surplus grows at about 2% per period, close to the</w:t>
      </w:r>
      <w:r>
        <w:t xml:space="preserve"> </w:t>
      </w:r>
      <w:r>
        <w:t xml:space="preserve">bill rate: from 0.08% of value added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to 0.36%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, by which time the EU central</w:t>
      </w:r>
      <w:r>
        <w:t xml:space="preserve"> </w:t>
      </w:r>
      <w:r>
        <w:t xml:space="preserve">bank holds 183 units of RoW bills (€1.8 tn).</w:t>
      </w:r>
    </w:p>
    <w:p>
      <w:pPr>
        <w:pStyle w:val="BodyText"/>
      </w:pPr>
      <w:r>
        <w:t xml:space="preserve">The arm is therefore calibrated to a zero current account (decision of 1 October). It has its own</w:t>
      </w:r>
      <w:r>
        <w:t xml:space="preserve"> </w:t>
      </w:r>
      <w:r>
        <w:t xml:space="preserve">values of the EU share of wealth in RoW equity and of the two debt endowments, so that reserves stay</w:t>
      </w:r>
      <w:r>
        <w:t xml:space="preserve"> </w:t>
      </w:r>
      <w:r>
        <w:t xml:space="preserve">near zero and debt/VA stays on target. The baseline is then stationary, and any change in public</w:t>
      </w:r>
      <w:r>
        <w:t xml:space="preserve"> </w:t>
      </w:r>
      <w:r>
        <w:t xml:space="preserve">debt in a scenario run is easy to detect against it. The root is still there: calibration pins the</w:t>
      </w:r>
      <w:r>
        <w:t xml:space="preserve"> </w:t>
      </w:r>
      <w:r>
        <w:t xml:space="preserve">baseline, but a shock that opens a current-account imbalance will start the reserves compounding at</w:t>
      </w:r>
      <w:r>
        <w:t xml:space="preserve"> </w:t>
      </w:r>
      <w:r>
        <w:t xml:space="preserve">the bill rate. No reaction rule is added, because a rule that moves the interest rate with reserves</w:t>
      </w:r>
      <w:r>
        <w:t xml:space="preserve"> </w:t>
      </w:r>
      <w:r>
        <w:t xml:space="preserve">is OPENFIXR (below).</w:t>
      </w:r>
    </w:p>
    <w:bookmarkEnd w:id="38"/>
    <w:bookmarkStart w:id="39" w:name="openfixg-government-spending-reacts"/>
    <w:p>
      <w:pPr>
        <w:pStyle w:val="Heading2"/>
      </w:pPr>
      <w:r>
        <w:t xml:space="preserve">OPENFIXG: government spending reacts</w:t>
      </w:r>
    </w:p>
    <w:p>
      <w:pPr>
        <w:pStyle w:val="FirstParagraph"/>
      </w:pPr>
      <w:r>
        <w:t xml:space="preserve">All EU reserves are fixed, and EU real government spending is the residual of its budget constraint: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5.6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sSubSup>
            <m:e>
              <m:r>
                <m:t>F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o</m:t>
          </m:r>
          <m:sSup>
            <m:e>
              <m:r>
                <m:t>v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E</m:t>
              </m:r>
              <m:sSubSup>
                <m:e>
                  <m:r>
                    <m:t>F</m:t>
                  </m:r>
                </m:e>
                <m:sub>
                  <m:r>
                    <m:t>g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b</m:t>
                  </m:r>
                </m:sub>
                <m:sup>
                  <m:r>
                    <m:t>z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A</m:t>
              </m:r>
              <m:sSup>
                <m:e>
                  <m:r>
                    <m:t>R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  <m:sup>
                  <m:r>
                    <m:t>z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  <m:sup>
                  <m:r>
                    <m:t>z</m:t>
                  </m:r>
                </m:sup>
              </m:sSubSup>
            </m:e>
          </m:d>
          <m:r>
            <m:rPr>
              <m:sty m:val="p"/>
            </m:rPr>
            <m:t>/</m:t>
          </m:r>
          <m:sSubSup>
            <m:e>
              <m:r>
                <m:t>p</m:t>
              </m:r>
            </m:e>
            <m:sub>
              <m:r>
                <m:t>G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Δ</m:t>
          </m:r>
          <m:sSubSup>
            <m:e>
              <m:r>
                <m:t>H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−</m:t>
          </m:r>
          <m:r>
            <m:t>Δ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O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O</m:t>
          </m:r>
          <m:sSup>
            <m:e>
              <m:r>
                <m:t>R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10.6</m:t>
              </m:r>
            </m:e>
          </m:d>
        </m:oMath>
      </m:oMathPara>
    </w:p>
    <w:p>
      <w:pPr>
        <w:pStyle w:val="FirstParagraph"/>
      </w:pPr>
      <w:r>
        <w:t xml:space="preserve">The EU bill supply is what households, banks, the RoW and the central bank demand at the fixed</w:t>
      </w:r>
      <w:r>
        <w:t xml:space="preserve"> </w:t>
      </w:r>
      <w:r>
        <w:t xml:space="preserve">rates. The deficit is the change in that supply, and spending adjusts to it.</w:t>
      </w:r>
    </w:p>
    <w:p>
      <w:pPr>
        <w:pStyle w:val="BodyText"/>
      </w:pPr>
      <w:r>
        <w:rPr>
          <w:b/>
          <w:bCs/>
        </w:rPr>
        <w:t xml:space="preserve">Which area adjusts.</w:t>
      </w:r>
      <w:r>
        <w:t xml:space="preserve"> </w:t>
      </w:r>
      <w:r>
        <w:t xml:space="preserve">The area whose government spending adjusts is the one whose central bank</w:t>
      </w:r>
      <w:r>
        <w:t xml:space="preserve"> </w:t>
      </w:r>
      <w:r>
        <w:t xml:space="preserve">holds the other area’s bills as reserves. In the EU/RoW model that is the EU. In the North/South</w:t>
      </w:r>
      <w:r>
        <w:t xml:space="preserve"> </w:t>
      </w:r>
      <w:r>
        <w:t xml:space="preserve">model the reserve relation is the mirror image (the South’s central bank holds North bills), so the</w:t>
      </w:r>
      <w:r>
        <w:t xml:space="preserve"> </w:t>
      </w:r>
      <w:r>
        <w:t xml:space="preserve">South adjusts, with the same equations with the area indices swapped. Which area’s money is world money is a</w:t>
      </w:r>
      <w:r>
        <w:t xml:space="preserve"> </w:t>
      </w:r>
      <w:r>
        <w:t xml:space="preserve">choice of closure, not of region: under OPENFIX-gold and the quasi-float both central banks’ foreign-bill</w:t>
      </w:r>
      <w:r>
        <w:t xml:space="preserve"> </w:t>
      </w:r>
      <w:r>
        <w:t xml:space="preserve">holdings are frozen and gold settles, so no area’s money plays that role, and those closures are neutral.</w:t>
      </w:r>
    </w:p>
    <w:bookmarkEnd w:id="39"/>
    <w:bookmarkStart w:id="40" w:name="quasi-float-a-crawling-exchange-rate"/>
    <w:p>
      <w:pPr>
        <w:pStyle w:val="Heading2"/>
      </w:pPr>
      <w:r>
        <w:t xml:space="preserve">Quasi-float: a crawling exchange rate</w:t>
      </w:r>
    </w:p>
    <w:p>
      <w:pPr>
        <w:pStyle w:val="FirstParagraph"/>
      </w:pPr>
      <w:r>
        <w:t xml:space="preserve">The exchange rate crawls on the lagged current account, and gold settles the rest: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r>
            <m:t>x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p</m:t>
          </m:r>
          <m:r>
            <m:t>a</m:t>
          </m:r>
          <m:sSub>
            <m:e>
              <m:r>
                <m:t>r</m:t>
              </m:r>
            </m:e>
            <m:sub>
              <m:r>
                <m:t>x</m:t>
              </m:r>
              <m:r>
                <m:t>r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C</m:t>
              </m:r>
              <m:r>
                <m:t>A</m:t>
              </m:r>
              <m:sSubSup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num>
            <m:den>
              <m:r>
                <m:t>Y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z</m:t>
                  </m:r>
                </m:sup>
              </m:sSub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w:r>
        <w:t xml:space="preserve">The rule has no simultaneous loop. Its parameter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t>x</m:t>
            </m:r>
            <m:r>
              <m:t>r</m:t>
            </m:r>
          </m:sub>
        </m:sSub>
      </m:oMath>
      <w:r>
        <w:t xml:space="preserve"> </w:t>
      </w:r>
      <w:r>
        <w:t xml:space="preserve">is not identified by the baseline. It</w:t>
      </w:r>
      <w:r>
        <w:t xml:space="preserve"> </w:t>
      </w:r>
      <w:r>
        <w:t xml:space="preserve">needs the Armington split on intermediate inputs (13.3): without it, an appreciation raises the</w:t>
      </w:r>
      <w:r>
        <w:t xml:space="preserve"> </w:t>
      </w:r>
      <w:r>
        <w:t xml:space="preserve">trade balance, and the rate diverges.</w:t>
      </w:r>
    </w:p>
    <w:bookmarkEnd w:id="40"/>
    <w:bookmarkStart w:id="41" w:name="X2f42741fb56e3e8ef4038a650aecd880a4e554c"/>
    <w:p>
      <w:pPr>
        <w:pStyle w:val="Heading2"/>
      </w:pPr>
      <w:r>
        <w:t xml:space="preserve">OPENFLEX: a flexible exchange rate (built; unstable)</w:t>
      </w:r>
    </w:p>
    <w:p>
      <w:pPr>
        <w:pStyle w:val="FirstParagraph"/>
      </w:pPr>
      <w:r>
        <w:t xml:space="preserve">The exchange rate clears the market for RoW bills held by EU households, and all reserves are fixed</w:t>
      </w:r>
      <w:r>
        <w:t xml:space="preserve"> </w:t>
      </w:r>
      <w:r>
        <w:t xml:space="preserve">(arm</w:t>
      </w:r>
      <w:r>
        <w:t xml:space="preserve"> </w:t>
      </w:r>
      <w:r>
        <w:rPr>
          <w:rStyle w:val="VerbatimChar"/>
        </w:rPr>
        <w:t xml:space="preserve">revised_openflex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r</m:t>
              </m:r>
            </m:e>
            <m:sup>
              <m:r>
                <m:t>z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B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s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b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B</m:t>
              </m:r>
            </m:e>
            <m:sub>
              <m:r>
                <m:t>c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  <m:sup>
              <m:r>
                <m:t>f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10.4</m:t>
              </m:r>
            </m:e>
          </m:d>
        </m:oMath>
      </m:oMathPara>
    </w:p>
    <w:p>
      <w:pPr>
        <w:pStyle w:val="FirstParagraph"/>
      </w:pPr>
      <w:r>
        <w:t xml:space="preserve">This needs portfolio demand that responds to returns, which Block 7 supplies. Two features of the</w:t>
      </w:r>
      <w:r>
        <w:t xml:space="preserve"> </w:t>
      </w:r>
      <w:r>
        <w:t xml:space="preserve">implementation matter: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exchange rate is solved within the period.</w:t>
      </w:r>
      <w:r>
        <w:t xml:space="preserve"> </w:t>
      </w:r>
      <w:r>
        <w:t xml:space="preserve">EU holdings of RoW bills are small (about 66</w:t>
      </w:r>
      <w:r>
        <w:t xml:space="preserve"> </w:t>
      </w:r>
      <w:r>
        <w:t xml:space="preserve">units, against about 3,000 RoW bills outstanding), so a small change in demand needs a large</w:t>
      </w:r>
      <w:r>
        <w:t xml:space="preserve"> </w:t>
      </w:r>
      <w:r>
        <w:t xml:space="preserve">change in the rate. With the currency gain of the same period in the returns, the loop between</w:t>
      </w:r>
      <w:r>
        <w:t xml:space="preserve"> </w:t>
      </w:r>
      <w:r>
        <w:t xml:space="preserve">the rate and the demand for RoW bills diverged. The rate is now found by a secant search on the</w:t>
      </w:r>
      <w:r>
        <w:t xml:space="preserve"> </w:t>
      </w:r>
      <w:r>
        <w:t xml:space="preserve">market-clearing gap, inside each period (4–8 passes, gap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expected currency gain is adaptive.</w:t>
      </w:r>
      <w:r>
        <w:t xml:space="preserve"> </w:t>
      </w:r>
      <w:r>
        <w:t xml:space="preserve">The portfolio reads last period’s realised gain</w:t>
      </w:r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), not the current one.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every period solves, but the rate cycles with growing amplitude:</w:t>
      </w:r>
      <w:r>
        <w:t xml:space="preserve"> </w:t>
      </w:r>
      <w:r>
        <w:t xml:space="preserve">1.09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, 1.39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12</m:t>
        </m:r>
      </m:oMath>
      <w:r>
        <w:t xml:space="preserve">, 0.70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, 4.44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19</m:t>
        </m:r>
      </m:oMath>
      <w:r>
        <w:t xml:space="preserve">, 0.085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22</m:t>
        </m:r>
      </m:oMath>
      <w:r>
        <w:t xml:space="preserve">; the run</w:t>
      </w:r>
      <w:r>
        <w:t xml:space="preserve"> </w:t>
      </w:r>
      <w:r>
        <w:t xml:space="preserve">stops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24</m:t>
        </m:r>
      </m:oMath>
      <w:r>
        <w:t xml:space="preserve">. This is an expectations cobweb, not the decelerating depreciation Godley and</w:t>
      </w:r>
      <w:r>
        <w:t xml:space="preserve"> </w:t>
      </w:r>
      <w:r>
        <w:t xml:space="preserve">Lavoie (2007, ch. 12) find. Slower adaptation (</w:t>
      </w:r>
      <m:oMath>
        <m:r>
          <m:t>θ</m:t>
        </m:r>
        <m:r>
          <m:rPr>
            <m:sty m:val="p"/>
          </m:rPr>
          <m:t>&lt;</m:t>
        </m:r>
        <m:r>
          <m:t>1</m:t>
        </m:r>
      </m:oMath>
      <w:r>
        <w:t xml:space="preserve">) and a smaller portfolio response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&lt;</m:t>
        </m:r>
        <m:r>
          <m:t>1</m:t>
        </m:r>
      </m:oMath>
      <w:r>
        <w:t xml:space="preserve">) are being tested next.</w:t>
      </w:r>
    </w:p>
    <w:bookmarkEnd w:id="41"/>
    <w:bookmarkStart w:id="42" w:name="openfixr-specified-not-built"/>
    <w:p>
      <w:pPr>
        <w:pStyle w:val="Heading2"/>
      </w:pPr>
      <w:r>
        <w:t xml:space="preserve">OPENFIXR: specified, not built</w:t>
      </w:r>
    </w:p>
    <w:p>
      <w:pPr>
        <w:pStyle w:val="FirstParagraph"/>
      </w:pPr>
      <w:r>
        <w:t xml:space="preserve">The EU bill rate would become the variable that clears the EU bill market (Godley and Lavoie 2007,</w:t>
      </w:r>
      <w:r>
        <w:t xml:space="preserve"> </w:t>
      </w:r>
      <w:r>
        <w:t xml:space="preserve">eq. 12.68), with the portfolio equations re-timed to current rates. It was decided on 1 October not to</w:t>
      </w:r>
      <w:r>
        <w:t xml:space="preserve"> </w:t>
      </w:r>
      <w:r>
        <w:t xml:space="preserve">build it, for two reasons. Godley and Lavoie’s own experiment finds that the rate</w:t>
      </w:r>
      <w:r>
        <w:t xml:space="preserve"> </w:t>
      </w:r>
      <w:r>
        <w:t xml:space="preserve">“has to go on rising</w:t>
      </w:r>
      <w:r>
        <w:t xml:space="preserve"> </w:t>
      </w:r>
      <w:r>
        <w:t xml:space="preserve">for ever”</w:t>
      </w:r>
      <w:r>
        <w:t xml:space="preserve"> </w:t>
      </w:r>
      <w:r>
        <w:t xml:space="preserve">(§12.6.1): a higher rate raises the interest paid abroad and so widens the deficit it was</w:t>
      </w:r>
      <w:r>
        <w:t xml:space="preserve"> </w:t>
      </w:r>
      <w:r>
        <w:t xml:space="preserve">raised to close. And in this model the bill rate also sets the rate of profit,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e</m:t>
        </m:r>
      </m:oMath>
      <w:r>
        <w:t xml:space="preserve"> </w:t>
      </w:r>
      <w:r>
        <w:t xml:space="preserve">(8.S4), so a</w:t>
      </w:r>
      <w:r>
        <w:t xml:space="preserve"> </w:t>
      </w:r>
      <w:r>
        <w:t xml:space="preserve">rate that drifts upward would move every price of production, and a scenario’s price results would mix</w:t>
      </w:r>
      <w:r>
        <w:t xml:space="preserve"> </w:t>
      </w:r>
      <w:r>
        <w:t xml:space="preserve">the circular-economy shock with the closure’s runaway.</w:t>
      </w:r>
    </w:p>
    <w:bookmarkEnd w:id="42"/>
    <w:bookmarkEnd w:id="43"/>
    <w:bookmarkStart w:id="44" w:name="calibration"/>
    <w:p>
      <w:pPr>
        <w:pStyle w:val="Heading1"/>
      </w:pPr>
      <w:r>
        <w:t xml:space="preserve">Calibration</w:t>
      </w:r>
    </w:p>
    <w:p>
      <w:pPr>
        <w:pStyle w:val="FirstParagraph"/>
      </w:pPr>
      <w:r>
        <w:t xml:space="preserve">The model is calibrated to the 2011 EXIOBASE data (</w:t>
      </w:r>
      <w:r>
        <w:rPr>
          <w:rStyle w:val="VerbatimChar"/>
        </w:rPr>
        <w:t xml:space="preserve">data/targets/target_values.xlsx</w:t>
      </w:r>
      <w:r>
        <w:t xml:space="preserve">). Five values were set</w:t>
      </w:r>
      <w:r>
        <w:t xml:space="preserve"> </w:t>
      </w:r>
      <w:r>
        <w:t xml:space="preserve">jointly on 30 September 2026 so that the baseline is stationary at the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bills held by the own central bank (</w:t>
            </w:r>
            <w:r>
              <w:rPr>
                <w:rStyle w:val="VerbatimChar"/>
              </w:rPr>
              <w:t xml:space="preserve">debt_endowment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−57.6</w:t>
            </w:r>
          </w:p>
        </w:tc>
        <w:tc>
          <w:tcPr/>
          <w:p>
            <w:pPr>
              <w:pStyle w:val="Compact"/>
            </w:pPr>
            <w:r>
              <w:t xml:space="preserve">−3,505</w:t>
            </w:r>
          </w:p>
        </w:tc>
        <w:tc>
          <w:tcPr/>
          <w:p>
            <w:pPr>
              <w:pStyle w:val="Compact"/>
            </w:pPr>
            <w:r>
              <w:t xml:space="preserve">the stationary level of public debt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tax rates, as a share of the observed rates</w:t>
            </w:r>
          </w:p>
        </w:tc>
        <w:tc>
          <w:tcPr/>
          <w:p>
            <w:pPr>
              <w:pStyle w:val="Compact"/>
            </w:pPr>
            <w: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  <w:r>
              <w:t xml:space="preserve">the deficit, in a model with no 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RoW equity in EU households’ wealth (</w:t>
            </w:r>
            <w:r>
              <w:rPr>
                <w:rStyle w:val="VerbatimChar"/>
              </w:rPr>
              <w:t xml:space="preserve">lambdaE0_2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EU current account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the baseline gives:</w:t>
      </w:r>
    </w:p>
    <w:p>
      <w:pPr>
        <w:pStyle w:val="Compact"/>
        <w:numPr>
          <w:ilvl w:val="0"/>
          <w:numId w:val="1008"/>
        </w:numPr>
      </w:pPr>
      <w:r>
        <w:t xml:space="preserve">value added within 0.02% (EU) and 0.3% (RoW) of 2011;</w:t>
      </w:r>
    </w:p>
    <w:p>
      <w:pPr>
        <w:pStyle w:val="Compact"/>
        <w:numPr>
          <w:ilvl w:val="0"/>
          <w:numId w:val="1008"/>
        </w:numPr>
      </w:pPr>
      <w:r>
        <w:t xml:space="preserve">debt/VA 0.809 and 0.851, against targets of 0.81 and 0.85, with slopes of</w:t>
      </w:r>
      <w:r>
        <w:t xml:space="preserve"> </w:t>
      </w:r>
      <m:oMath>
        <m:r>
          <m:rPr>
            <m:sty m:val="p"/>
          </m:rPr>
          <m:t>−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period;</w:t>
      </w:r>
    </w:p>
    <w:p>
      <w:pPr>
        <w:pStyle w:val="Compact"/>
        <w:numPr>
          <w:ilvl w:val="0"/>
          <w:numId w:val="1008"/>
        </w:numPr>
      </w:pPr>
      <w:r>
        <w:t xml:space="preserve">an EU current account of −0.004% of value added.</w:t>
      </w:r>
    </w:p>
    <w:p>
      <w:pPr>
        <w:pStyle w:val="FirstParagraph"/>
      </w:pPr>
      <w:r>
        <w:t xml:space="preserve">Two targets are missed: RoW investment, because the data include net investment that a stationary</w:t>
      </w:r>
      <w:r>
        <w:t xml:space="preserve"> </w:t>
      </w:r>
      <w:r>
        <w:t xml:space="preserve">economy cannot have, and EU exports.</w:t>
      </w:r>
    </w:p>
    <w:p>
      <w:pPr>
        <w:pStyle w:val="BodyText"/>
      </w:pPr>
      <w:r>
        <w:rPr>
          <w:b/>
          <w:bCs/>
        </w:rPr>
        <w:t xml:space="preserve">The North/South model</w:t>
      </w:r>
      <w:r>
        <w:t xml:space="preserve"> </w:t>
      </w:r>
      <w:r>
        <w:t xml:space="preserve">(arm</w:t>
      </w:r>
      <w:r>
        <w:t xml:space="preserve"> </w:t>
      </w:r>
      <w:r>
        <w:rPr>
          <w:rStyle w:val="VerbatimChar"/>
        </w:rPr>
        <w:t xml:space="preserve">revised_ns</w:t>
      </w:r>
      <w:r>
        <w:t xml:space="preserve">) was calibrated in the same way on 1 October, with one</w:t>
      </w:r>
      <w:r>
        <w:t xml:space="preserve"> </w:t>
      </w:r>
      <w:r>
        <w:t xml:space="preserve">difference in the value-added target. A stationary model has no net investment, so the target is</w:t>
      </w:r>
      <w:r>
        <w:t xml:space="preserve"> </w:t>
      </w:r>
      <w:r>
        <w:t xml:space="preserve">VA* = GDP − net investment rather than GDP itself. The values set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t xml:space="preserve">South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bills held by the own central bank (</w:t>
            </w:r>
            <w:r>
              <w:rPr>
                <w:rStyle w:val="VerbatimChar"/>
              </w:rPr>
              <w:t xml:space="preserve">debt_endowment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−2,047.9</w:t>
            </w:r>
          </w:p>
        </w:tc>
        <w:tc>
          <w:tcPr/>
          <w:p>
            <w:pPr>
              <w:pStyle w:val="Compact"/>
            </w:pPr>
            <w:r>
              <w:t xml:space="preserve">−1,126.7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tax rates, scaled from the workbook’s values by</w:t>
            </w:r>
          </w:p>
        </w:tc>
        <w:tc>
          <w:tcPr/>
          <w:p>
            <w:pPr>
              <w:pStyle w:val="Compact"/>
            </w:pPr>
            <w:r>
              <w:t xml:space="preserve">1.014</w:t>
            </w:r>
          </w:p>
        </w:tc>
        <w:tc>
          <w:tcPr/>
          <w:p>
            <w:pPr>
              <w:pStyle w:val="Compact"/>
            </w:pPr>
            <w:r>
              <w:t xml:space="preserve">1.108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South equity in North households’ wealth (</w:t>
            </w:r>
            <w:r>
              <w:rPr>
                <w:rStyle w:val="VerbatimChar"/>
              </w:rPr>
              <w:t xml:space="preserve">lambdaE0_2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0.0049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: debt/VA 0.978 and 0.365, against IMF targets of 0.979 and 0.363, with slopes of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period; a North current account of +0.0009% of value</w:t>
      </w:r>
      <w:r>
        <w:t xml:space="preserve"> </w:t>
      </w:r>
      <w:r>
        <w:t xml:space="preserve">added; value added at 1.0008 and 0.9978 of VA*.</w:t>
      </w:r>
    </w:p>
    <w:p>
      <w:pPr>
        <w:pStyle w:val="BodyText"/>
      </w:pPr>
      <w:r>
        <w:t xml:space="preserve">Other values: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Derived, not calibrated:</w:t>
      </w:r>
      <w:r>
        <w:t xml:space="preserve"> </w:t>
      </w:r>
      <w:r>
        <w:t xml:space="preserve">the profit of enterprise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0.2222</m:t>
        </m:r>
      </m:oMath>
      <w:r>
        <w:t xml:space="preserve">, from the 2011 price level.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Set by the maintainer, with no empirical estimate:</w:t>
      </w:r>
      <w:r>
        <w:t xml:space="preserve"> </w:t>
      </w:r>
      <w:r>
        <w:t xml:space="preserve">the Armington elasticities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0.626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 and the portfolio scale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4"/>
    <w:bookmarkStart w:id="45" w:name="provenance"/>
    <w:p>
      <w:pPr>
        <w:pStyle w:val="Heading1"/>
      </w:pPr>
      <w:r>
        <w:t xml:space="preserve">Provenance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equations</w:t>
      </w:r>
      <w:r>
        <w:t xml:space="preserve"> </w:t>
      </w:r>
      <w:r>
        <w:t xml:space="preserve">are printed from</w:t>
      </w:r>
      <w:r>
        <w:t xml:space="preserve"> </w:t>
      </w:r>
      <w:r>
        <w:rPr>
          <w:rStyle w:val="VerbatimChar"/>
        </w:rPr>
        <w:t xml:space="preserve">qmd/equations/equations.csv</w:t>
      </w:r>
      <w:r>
        <w:t xml:space="preserve">, column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, and the closure</w:t>
      </w:r>
      <w:r>
        <w:t xml:space="preserve"> </w:t>
      </w:r>
      <w:r>
        <w:t xml:space="preserve">equations from</w:t>
      </w:r>
      <w:r>
        <w:t xml:space="preserve"> </w:t>
      </w:r>
      <w:r>
        <w:rPr>
          <w:rStyle w:val="VerbatimChar"/>
        </w:rPr>
        <w:t xml:space="preserve">qmd/equations/closure_overrides.csv</w:t>
      </w:r>
      <w:r>
        <w:t xml:space="preserve">. Re-rendering this file picks up any change</w:t>
      </w:r>
      <w:r>
        <w:t xml:space="preserve"> </w:t>
      </w:r>
      <w:r>
        <w:t xml:space="preserve">to the catalogue.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Every equation comes from the catalogue.</w:t>
      </w:r>
      <w:r>
        <w:t xml:space="preserve"> </w:t>
      </w:r>
      <w:r>
        <w:t xml:space="preserve">The ten cells that were not a clean</w:t>
      </w:r>
      <w:r>
        <w:t xml:space="preserve"> </w:t>
      </w:r>
      <w:r>
        <w:t xml:space="preserve">“lhs = rhs”</w:t>
      </w:r>
      <w:r>
        <w:t xml:space="preserve"> </w:t>
      </w:r>
      <w:r>
        <w:t xml:space="preserve">on</w:t>
      </w:r>
      <w:r>
        <w:t xml:space="preserve"> </w:t>
      </w:r>
      <w:r>
        <w:t xml:space="preserve">30 September were cleaned in the catalogue on 1 October (</w:t>
      </w:r>
      <w:r>
        <w:rPr>
          <w:rStyle w:val="VerbatimChar"/>
        </w:rPr>
        <w:t xml:space="preserve">tools/equations/catalogue_cleanup_20261001.py</w:t>
      </w:r>
      <w:r>
        <w:t xml:space="preserve">). The</w:t>
      </w:r>
      <w:r>
        <w:t xml:space="preserve"> </w:t>
      </w:r>
      <w:r>
        <w:t xml:space="preserve">fixed exchange rate of Block 10 comes from</w:t>
      </w:r>
      <w:r>
        <w:t xml:space="preserve"> </w:t>
      </w:r>
      <w:r>
        <w:rPr>
          <w:rStyle w:val="VerbatimChar"/>
        </w:rPr>
        <w:t xml:space="preserve">qmd/equations/closure_overrides.csv</w:t>
      </w:r>
      <w:r>
        <w:t xml:space="preserve">, row</w:t>
      </w:r>
      <w:r>
        <w:t xml:space="preserve"> </w:t>
      </w:r>
      <w:r>
        <w:rPr>
          <w:rStyle w:val="VerbatimChar"/>
        </w:rPr>
        <w:t xml:space="preserve">revised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Catalogue numbering.</w:t>
      </w:r>
      <w:r>
        <w:t xml:space="preserve"> </w:t>
      </w:r>
      <w:r>
        <w:t xml:space="preserve">8.S1 … 8.S7 are the catalogue’s</w:t>
      </w:r>
      <w:r>
        <w:t xml:space="preserve"> </w:t>
      </w:r>
      <w:r>
        <w:rPr>
          <w:rStyle w:val="VerbatimChar"/>
        </w:rPr>
        <w:t xml:space="preserve">8.sraffian.1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8.sraffian.7</w:t>
      </w:r>
      <w:r>
        <w:t xml:space="preserve">. Equation</w:t>
      </w:r>
      <w:r>
        <w:t xml:space="preserve"> </w:t>
      </w:r>
      <w:r>
        <w:t xml:space="preserve">(6.9) is the catalogue’s</w:t>
      </w:r>
      <w:r>
        <w:t xml:space="preserve"> </w:t>
      </w:r>
      <w:r>
        <w:rPr>
          <w:rStyle w:val="VerbatimChar"/>
        </w:rPr>
        <w:t xml:space="preserve">6.9a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Fuller records.</w:t>
      </w:r>
      <w:r>
        <w:t xml:space="preserve"> </w:t>
      </w:r>
      <w:r>
        <w:t xml:space="preserve">The change history of every equation, with its measurements, is in</w:t>
      </w:r>
      <w:r>
        <w:t xml:space="preserve"> </w:t>
      </w:r>
      <w:r>
        <w:rPr>
          <w:rStyle w:val="VerbatimChar"/>
        </w:rPr>
        <w:t xml:space="preserve">model/equations/model-equations-submitted-to-revised.html</w:t>
      </w:r>
      <w:r>
        <w:t xml:space="preserve">; the closures, side by side, are in</w:t>
      </w:r>
      <w:r>
        <w:t xml:space="preserve"> </w:t>
      </w:r>
      <w:r>
        <w:rPr>
          <w:rStyle w:val="VerbatimChar"/>
        </w:rPr>
        <w:t xml:space="preserve">model/equations/model-equations-closures.html</w:t>
      </w:r>
      <w:r>
        <w:t xml:space="preserve">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011">
    <w:nsid w:val="A99422011"/>
    <w:multiLevelType w:val="multilevel"/>
    <w:lvl w:ilvl="0">
      <w:start w:val="2011"/>
      <w:numFmt w:val="decimal"/>
      <w:lvlText w:val="%1)"/>
      <w:lvlJc w:val="left"/>
      <w:pPr>
        <w:ind w:left="720" w:hanging="360"/>
      </w:pPr>
    </w:lvl>
    <w:lvl w:ilvl="1">
      <w:start w:val="2011"/>
      <w:numFmt w:val="decimal"/>
      <w:lvlText w:val="%2)"/>
      <w:lvlJc w:val="left"/>
      <w:pPr>
        <w:ind w:left="1440" w:hanging="360"/>
      </w:pPr>
    </w:lvl>
    <w:lvl w:ilvl="2">
      <w:start w:val="2011"/>
      <w:numFmt w:val="decimal"/>
      <w:lvlText w:val="%3)"/>
      <w:lvlJc w:val="left"/>
      <w:pPr>
        <w:ind w:left="2160" w:hanging="360"/>
      </w:pPr>
    </w:lvl>
    <w:lvl w:ilvl="3">
      <w:start w:val="2011"/>
      <w:numFmt w:val="decimal"/>
      <w:lvlText w:val="%4)"/>
      <w:lvlJc w:val="left"/>
      <w:pPr>
        <w:ind w:left="2880" w:hanging="360"/>
      </w:pPr>
    </w:lvl>
    <w:lvl w:ilvl="4">
      <w:start w:val="2011"/>
      <w:numFmt w:val="decimal"/>
      <w:lvlText w:val="%5)"/>
      <w:lvlJc w:val="left"/>
      <w:pPr>
        <w:ind w:left="3600" w:hanging="360"/>
      </w:pPr>
    </w:lvl>
    <w:lvl w:ilvl="5">
      <w:start w:val="2011"/>
      <w:numFmt w:val="decimal"/>
      <w:lvlText w:val="%6)"/>
      <w:lvlJc w:val="left"/>
      <w:pPr>
        <w:ind w:left="4320" w:hanging="360"/>
      </w:pPr>
    </w:lvl>
    <w:lvl w:ilvl="6">
      <w:start w:val="2011"/>
      <w:numFmt w:val="decimal"/>
      <w:lvlText w:val="%7)"/>
      <w:lvlJc w:val="left"/>
      <w:pPr>
        <w:ind w:left="5040" w:hanging="360"/>
      </w:pPr>
    </w:lvl>
    <w:lvl w:ilvl="7">
      <w:start w:val="2011"/>
      <w:numFmt w:val="decimal"/>
      <w:lvlText w:val="%8)"/>
      <w:lvlJc w:val="left"/>
      <w:pPr>
        <w:ind w:left="5760" w:hanging="360"/>
      </w:pPr>
    </w:lvl>
    <w:lvl w:ilvl="8">
      <w:start w:val="201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011"/>
    <w:lvlOverride w:ilvl="0">
      <w:startOverride w:val="2011"/>
    </w:lvlOverride>
    <w:lvlOverride w:ilvl="1">
      <w:startOverride w:val="2011"/>
    </w:lvlOverride>
    <w:lvlOverride w:ilvl="2">
      <w:startOverride w:val="2011"/>
    </w:lvlOverride>
    <w:lvlOverride w:ilvl="3">
      <w:startOverride w:val="2011"/>
    </w:lvlOverride>
    <w:lvlOverride w:ilvl="4">
      <w:startOverride w:val="2011"/>
    </w:lvlOverride>
    <w:lvlOverride w:ilvl="5">
      <w:startOverride w:val="2011"/>
    </w:lvlOverride>
    <w:lvlOverride w:ilvl="6">
      <w:startOverride w:val="2011"/>
    </w:lvlOverride>
    <w:lvlOverride w:ilvl="7">
      <w:startOverride w:val="2011"/>
    </w:lvlOverride>
    <w:lvlOverride w:ilvl="8">
      <w:startOverride w:val="201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Equations — the revised LEEDS model</dc:title>
  <dc:creator>Oriol Vallès Codina — LEEDS_MODEL / JUST2CE</dc:creator>
  <cp:keywords/>
  <dcterms:created xsi:type="dcterms:W3CDTF">2026-10-02T14:33:18Z</dcterms:created>
  <dcterms:modified xsi:type="dcterms:W3CDTF">2026-10-02T14:33:18Z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2026-09-30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The canonical model (arm revised) described block by block in the form of the submitted model description, with a short note wherever an equation departs from it. The external closure is still being chosen; the alternatives are set out at the end.</vt:lpwstr>
  </property>
  <property fmtid="{D5CDD505-2E9C-101B-9397-08002B2CF9AE}" pid="12" name="toc-title">
    <vt:lpwstr>Table of contents</vt:lpwstr>
  </property>
</Properties>
</file>