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 Equations — the current revised LEEDS model</w:t>
      </w:r>
    </w:p>
    <w:p>
      <w:pPr>
        <w:pStyle w:val="Subtitle"/>
      </w:pPr>
      <w:r>
        <w:t xml:space="preserve">The model the Results run on (arm</w:t>
      </w:r>
      <w:r>
        <w:t xml:space="preserve"> </w:t>
      </w:r>
      <w:r>
        <w:rPr>
          <w:rStyle w:val="VerbatimChar"/>
        </w:rPr>
        <w:t xml:space="preserve">revised_capital_highfinance_credit</w:t>
      </w:r>
      <w:r>
        <w:t xml:space="preserve">, the arm</w:t>
      </w:r>
      <w:r>
        <w:t xml:space="preserve"> </w:t>
      </w:r>
      <w:r>
        <w:rPr>
          <w:rStyle w:val="VerbatimChar"/>
        </w:rPr>
        <w:t xml:space="preserve">current_revised</w:t>
      </w:r>
      <w:r>
        <w:t xml:space="preserve"> </w:t>
      </w:r>
      <w:r>
        <w:t xml:space="preserve">points to) described block by block in the form of the submitted model description, with a short note wherever an equation departs from it. The four external closures of the Results grid are set out at the end.</w:t>
      </w:r>
    </w:p>
    <w:p>
      <w:pPr>
        <w:pStyle w:val="Author"/>
      </w:pPr>
      <w:r>
        <w:t xml:space="preserve">Oriol Vallès Codina — LEEDS_MODEL / JUST2CE</w:t>
      </w:r>
    </w:p>
    <w:p>
      <w:pPr>
        <w:pStyle w:val="Date"/>
      </w:pPr>
      <w:r>
        <w:t xml:space="preserve">2026-10-13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Status, 13 October 2026.</w:t>
            </w:r>
            <w:r>
              <w:t xml:space="preserve"> </w:t>
            </w:r>
            <w:r>
              <w:t xml:space="preserve">This is the model the revision’s Results run on: arm</w:t>
            </w:r>
            <w:r>
              <w:t xml:space="preserve"> </w:t>
            </w:r>
            <w:r>
              <w:rPr>
                <w:rStyle w:val="VerbatimChar"/>
              </w:rPr>
              <w:t xml:space="preserve">revised_capital_highfinance_credit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data/arms.csv</w:t>
            </w:r>
            <w:r>
              <w:t xml:space="preserve">, the arm</w:t>
            </w:r>
            <w:r>
              <w:t xml:space="preserve"> </w:t>
            </w:r>
            <w:r>
              <w:rPr>
                <w:rStyle w:val="VerbatimChar"/>
              </w:rPr>
              <w:t xml:space="preserve">current_revised</w:t>
            </w:r>
            <w:r>
              <w:t xml:space="preserve"> </w:t>
            </w:r>
            <w:r>
              <w:t xml:space="preserve">has pointed to since</w:t>
            </w:r>
            <w:r>
              <w:t xml:space="preserve"> </w:t>
            </w:r>
            <w:r>
              <w:t xml:space="preserve">13 October (it pointed to</w:t>
            </w:r>
            <w:r>
              <w:t xml:space="preserve"> </w:t>
            </w:r>
            <w:r>
              <w:rPr>
                <w:rStyle w:val="VerbatimChar"/>
              </w:rPr>
              <w:t xml:space="preserve">revised</w:t>
            </w:r>
            <w:r>
              <w:t xml:space="preserve"> </w:t>
            </w:r>
            <w:r>
              <w:t xml:space="preserve">from 30 September). It runs on the workbook</w:t>
            </w:r>
            <w:r>
              <w:t xml:space="preserve"> </w:t>
            </w:r>
            <w:r>
              <w:rPr>
                <w:rStyle w:val="VerbatimChar"/>
              </w:rPr>
              <w:t xml:space="preserve">data/initial_state/canonical_initial_state_capital_highfinance.xlsx</w:t>
            </w:r>
            <w:r>
              <w:t xml:space="preserve">. Its external closure (Block 10) is</w:t>
            </w:r>
            <w:r>
              <w:t xml:space="preserve"> </w:t>
            </w:r>
            <w:r>
              <w:t xml:space="preserve">Godley and Lavoie’s fixed exchange rate with gold as the settling reserve, and the Results repeat every</w:t>
            </w:r>
            <w:r>
              <w:t xml:space="preserve"> </w:t>
            </w:r>
            <w:r>
              <w:t xml:space="preserve">scenario under three further closures and on a North/South regional split (last section).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Four of its settings are stress settings, not estimates.</w:t>
            </w:r>
            <w:r>
              <w:t xml:space="preserve"> </w:t>
            </w:r>
            <w:r>
              <w:t xml:space="preserve">The EU firm-loan target (1.2 × value</w:t>
            </w:r>
            <w:r>
              <w:t xml:space="preserve"> </w:t>
            </w:r>
            <w:r>
              <w:t xml:space="preserve">added, against 0.83 in the data), the strength of the investment-finance responses, the credit-rationing</w:t>
            </w:r>
            <w:r>
              <w:t xml:space="preserve"> </w:t>
            </w:r>
            <w:r>
              <w:t xml:space="preserve">coefficients and the portfolio scale σ = 4 were chosen to make financial feedbacks large enough to</w:t>
            </w:r>
            <w:r>
              <w:t xml:space="preserve"> </w:t>
            </w:r>
            <w:r>
              <w:t xml:space="preserve">measure, as decided on 11 October (decision D-46). The calibrated model with data-based finance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revised_capital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revised_capital_finance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revised_capital_credit</w:t>
            </w:r>
            <w:r>
              <w:t xml:space="preserve">) is kept as the comparison.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previous version of this page (30 September) described arm</w:t>
            </w:r>
            <w:r>
              <w:t xml:space="preserve"> </w:t>
            </w:r>
            <w:r>
              <w:rPr>
                <w:rStyle w:val="VerbatimChar"/>
              </w:rPr>
              <w:t xml:space="preserve">revised</w:t>
            </w:r>
            <w:r>
              <w:t xml:space="preserve">. Everything that page said</w:t>
            </w:r>
            <w:r>
              <w:t xml:space="preserve"> </w:t>
            </w:r>
            <w:r>
              <w:t xml:space="preserve">still holds for that arm; this page adds what the capital, finance and credit blocks changed.</w:t>
            </w:r>
          </w:p>
        </w:tc>
      </w:tr>
    </w:tbl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model consists of difference equations describing the dynamics of the economic variables over a</w:t>
      </w:r>
      <w:r>
        <w:t xml:space="preserve"> </w:t>
      </w:r>
      <w:r>
        <w:t xml:space="preserve">finite time horizon, both at the industry level and at the aggregate level. Each period corresponds</w:t>
      </w:r>
      <w:r>
        <w:t xml:space="preserve"> </w:t>
      </w:r>
      <w:r>
        <w:t xml:space="preserve">to one year. Variables are expressed at time</w:t>
      </w:r>
      <w:r>
        <w:t xml:space="preserve"> </w:t>
      </w:r>
      <m:oMath>
        <m:r>
          <m:t>t</m:t>
        </m:r>
      </m:oMath>
      <w:r>
        <w:t xml:space="preserve">, unless a</w:t>
      </w:r>
      <w:r>
        <w:t xml:space="preserve"> </w:t>
      </w:r>
      <w:r>
        <w:t xml:space="preserve">“−1”</w:t>
      </w:r>
      <w:r>
        <w:t xml:space="preserve"> </w:t>
      </w:r>
      <w:r>
        <w:t xml:space="preserve">subscript denotes a lagged value. We</w:t>
      </w:r>
      <w:r>
        <w:t xml:space="preserve"> </w:t>
      </w:r>
      <w:r>
        <w:t xml:space="preserve">use the superscript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for each area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other area. The two areas are the European</w:t>
      </w:r>
      <w:r>
        <w:t xml:space="preserve"> </w:t>
      </w:r>
      <w:r>
        <w:t xml:space="preserve">Union (Z1) and the Rest of the World (Z2), each with the 54 industries of the EXIOBASE 3.8.2</w:t>
      </w:r>
      <w:r>
        <w:t xml:space="preserve"> </w:t>
      </w:r>
      <w:r>
        <w:t xml:space="preserve">aggregation for 2011. Exchange rates are quoted indirectly:</w:t>
      </w:r>
      <w:r>
        <w:t xml:space="preserve"> </w:t>
      </w:r>
      <m:oMath>
        <m:r>
          <m:t>x</m:t>
        </m:r>
        <m:sSup>
          <m:e>
            <m:r>
              <m:t>r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the price of one unit of</w:t>
      </w:r>
      <w:r>
        <w:t xml:space="preserve"> </w:t>
      </w:r>
      <w:r>
        <w:t xml:space="preserve">domestic currency in foreign currency.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⊘</m:t>
        </m:r>
      </m:oMath>
      <w:r>
        <w:t xml:space="preserve"> </w:t>
      </w:r>
      <w:r>
        <w:t xml:space="preserve">are element-wise multiplication and</w:t>
      </w:r>
      <w:r>
        <w:t xml:space="preserve"> </w:t>
      </w:r>
      <w:r>
        <w:t xml:space="preserve">division.</w:t>
      </w:r>
    </w:p>
    <w:p>
      <w:pPr>
        <w:pStyle w:val="BodyText"/>
      </w:pPr>
      <w:r>
        <w:rPr>
          <w:b/>
          <w:bCs/>
        </w:rPr>
        <w:t xml:space="preserve">How this text relates to the submitted description.</w:t>
      </w:r>
      <w:r>
        <w:t xml:space="preserve"> </w:t>
      </w:r>
      <w:r>
        <w:t xml:space="preserve">The block structure, the numbering and, for</w:t>
      </w:r>
      <w:r>
        <w:t xml:space="preserve"> </w:t>
      </w:r>
      <w:r>
        <w:t xml:space="preserve">every equation that has not changed, the wording follow the submitted model description. Where an</w:t>
      </w:r>
      <w:r>
        <w:t xml:space="preserve"> </w:t>
      </w:r>
      <w:r>
        <w:t xml:space="preserve">equation departs from it, a short note in italics says what changed and why. Equations that are new</w:t>
      </w:r>
      <w:r>
        <w:t xml:space="preserve"> </w:t>
      </w:r>
      <w:r>
        <w:t xml:space="preserve">carry a letter suffix (2.4a) or the number of the block they belong to (8.S1 … 8.S7 for the price of</w:t>
      </w:r>
      <w:r>
        <w:t xml:space="preserve"> </w:t>
      </w:r>
      <w:r>
        <w:t xml:space="preserve">production). The equations themselves are printed from the project’s equation catalogue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qmd/equations/equations.csv</w:t>
      </w:r>
      <w:r>
        <w:t xml:space="preserve">, column</w:t>
      </w:r>
      <w:r>
        <w:t xml:space="preserve"> </w:t>
      </w:r>
      <w:r>
        <w:rPr>
          <w:rStyle w:val="VerbatimChar"/>
        </w:rPr>
        <w:t xml:space="preserve">revised_capital_highfinance_credit</w:t>
      </w:r>
      <w:r>
        <w:t xml:space="preserve">), the same source as the</w:t>
      </w:r>
      <w:r>
        <w:t xml:space="preserve"> </w:t>
      </w:r>
      <w:r>
        <w:t xml:space="preserve">browsable tables in</w:t>
      </w:r>
      <w:r>
        <w:t xml:space="preserve"> </w:t>
      </w:r>
      <w:r>
        <w:rPr>
          <w:rStyle w:val="VerbatimChar"/>
        </w:rPr>
        <w:t xml:space="preserve">model/equations/</w:t>
      </w:r>
      <w:r>
        <w:t xml:space="preserve">. The full record of every change, equation by equation, with</w:t>
      </w:r>
      <w:r>
        <w:t xml:space="preserve"> </w:t>
      </w:r>
      <w:r>
        <w:t xml:space="preserve">the reason for it, is the companion page</w:t>
      </w:r>
      <w:r>
        <w:t xml:space="preserve"> </w:t>
      </w:r>
      <w:r>
        <w:rPr>
          <w:i/>
          <w:iCs/>
        </w:rPr>
        <w:t xml:space="preserve">Changes from the submitted model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departures in brief.</w:t>
      </w:r>
      <w:r>
        <w:t xml:space="preserve"> </w:t>
      </w:r>
      <w:r>
        <w:t xml:space="preserve">The model differs from the submitted description in ten respects. Each</w:t>
      </w:r>
      <w:r>
        <w:t xml:space="preserve"> </w:t>
      </w:r>
      <w:r>
        <w:t xml:space="preserve">is taken up in its block. The first six were in place by 30 September (arm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); the last four</w:t>
      </w:r>
      <w:r>
        <w:t xml:space="preserve"> </w:t>
      </w:r>
      <w:r>
        <w:t xml:space="preserve">were added between 9 and 11 October.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Prices of production</w:t>
      </w:r>
      <w:r>
        <w:t xml:space="preserve"> </w:t>
      </w:r>
      <w:r>
        <w:t xml:space="preserve">(Block 8). The 108 industry mark-ups are replaced by one uniform rate of</w:t>
      </w:r>
      <w:r>
        <w:t xml:space="preserve"> </w:t>
      </w:r>
      <w:r>
        <w:t xml:space="preserve">profit on the circulating and fixed capital advanced, as in Sraffa (1960). The rate of profit is</w:t>
      </w:r>
      <w:r>
        <w:t xml:space="preserve"> </w:t>
      </w:r>
      <w:r>
        <w:t xml:space="preserve">the money rate of interest plus a normal profit of enterprise (Pivetti 1991).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consistent valuation of prices, taxes and trade</w:t>
      </w:r>
      <w:r>
        <w:t xml:space="preserve"> </w:t>
      </w:r>
      <w:r>
        <w:t xml:space="preserve">(Blocks 2, 5, 8, 9). Market prices are basic</w:t>
      </w:r>
      <w:r>
        <w:t xml:space="preserve"> </w:t>
      </w:r>
      <w:r>
        <w:t xml:space="preserve">prices, without VAT. Tariffs fall on the customs value of imports. Imports are read from the</w:t>
      </w:r>
      <w:r>
        <w:t xml:space="preserve"> </w:t>
      </w:r>
      <w:r>
        <w:t xml:space="preserve">input–output structure instead of an estimated import function.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capital from data</w:t>
      </w:r>
      <w:r>
        <w:t xml:space="preserve"> </w:t>
      </w:r>
      <w:r>
        <w:t xml:space="preserve">(Blocks 2, 3, 8). An empirical capital-flow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(EXIOBASE</w:t>
      </w:r>
    </w:p>
    <w:p>
      <w:pPr>
        <w:pStyle w:val="Compact"/>
        <w:numPr>
          <w:ilvl w:val="1"/>
          <w:numId w:val="1002"/>
        </w:numPr>
      </w:pPr>
      <w:r>
        <w:t xml:space="preserve">gives what each industry’s depreciation consists of, by product and by origin. Replacement</w:t>
      </w:r>
      <w:r>
        <w:t xml:space="preserve"> </w:t>
      </w:r>
      <w:r>
        <w:t xml:space="preserve">demand, depreciation and the price of production all use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Origins respond to prices</w:t>
      </w:r>
      <w:r>
        <w:t xml:space="preserve"> </w:t>
      </w:r>
      <w:r>
        <w:t xml:space="preserve">(Blocks 9, 13). The split of each purchase between domestic and</w:t>
      </w:r>
      <w:r>
        <w:t xml:space="preserve"> </w:t>
      </w:r>
      <w:r>
        <w:t xml:space="preserve">foreign suppliers responds to relative buyer prices (Armington), for final demand and, since</w:t>
      </w:r>
      <w:r>
        <w:t xml:space="preserve"> </w:t>
      </w:r>
      <w:r>
        <w:t xml:space="preserve">30 September, for intermediate inputs as well.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Portfolio choice responds to returns</w:t>
      </w:r>
      <w:r>
        <w:t xml:space="preserve"> </w:t>
      </w:r>
      <w:r>
        <w:t xml:space="preserve">(Block 7). Asset shares respond to relative rates of</w:t>
      </w:r>
      <w:r>
        <w:t xml:space="preserve"> </w:t>
      </w:r>
      <w:r>
        <w:t xml:space="preserve">return through a Tobin substitution matrix, around the observed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external closure</w:t>
      </w:r>
      <w:r>
        <w:t xml:space="preserve"> </w:t>
      </w:r>
      <w:r>
        <w:t xml:space="preserve">(Block 10). Each central bank is the residual holder of its own</w:t>
      </w:r>
      <w:r>
        <w:t xml:space="preserve"> </w:t>
      </w:r>
      <w:r>
        <w:t xml:space="preserve">government’s bills, and the balance of payments settles in gold (Godley and Lavoie’s OPENFIX).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capital stock from data, and public investment that responds</w:t>
      </w:r>
      <w:r>
        <w:t xml:space="preserve"> </w:t>
      </w:r>
      <w:r>
        <w:t xml:space="preserve">(Blocks 3, 5). The target</w:t>
      </w:r>
      <w:r>
        <w:t xml:space="preserve"> </w:t>
      </w:r>
      <w:r>
        <w:t xml:space="preserve">capital–output ratio of each industry is its depreciation per unit of output divided by its</w:t>
      </w:r>
      <w:r>
        <w:t xml:space="preserve"> </w:t>
      </w:r>
      <w:r>
        <w:t xml:space="preserve">Eurostat depreciation rate,</w:t>
      </w:r>
      <w: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, so the firm capital stock is about four</w:t>
      </w:r>
      <w:r>
        <w:t xml:space="preserve"> </w:t>
      </w:r>
      <w:r>
        <w:t xml:space="preserve">times larger than before. Government investment follows an accelerator towards a target public</w:t>
      </w:r>
      <w:r>
        <w:t xml:space="preserve"> </w:t>
      </w:r>
      <w:r>
        <w:t xml:space="preserve">capital stock instead of being a constant.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depends on finance</w:t>
      </w:r>
      <w:r>
        <w:t xml:space="preserve"> </w:t>
      </w:r>
      <w:r>
        <w:t xml:space="preserve">(Blocks 2, 3, 5). The capital target responds to the margin of</w:t>
      </w:r>
      <w:r>
        <w:t xml:space="preserve"> </w:t>
      </w:r>
      <w:r>
        <w:t xml:space="preserve">profit over the loan rate and to leverage; retained profit finances part of net investment; and</w:t>
      </w:r>
      <w:r>
        <w:t xml:space="preserve"> </w:t>
      </w:r>
      <w:r>
        <w:t xml:space="preserve">the region whose central bank holds reserves pays a premium on the foreign liabilities a scenario</w:t>
      </w:r>
      <w:r>
        <w:t xml:space="preserve"> </w:t>
      </w:r>
      <w:r>
        <w:t xml:space="preserve">creates. All three are measured against the same arm’s unshocked path, so they are zero in the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rationing</w:t>
      </w:r>
      <w:r>
        <w:t xml:space="preserve"> </w:t>
      </w:r>
      <w:r>
        <w:t xml:space="preserve">(Block 3). Banks refuse a share of the additional loans a scenario makes firms</w:t>
      </w:r>
      <w:r>
        <w:t xml:space="preserve"> </w:t>
      </w:r>
      <w:r>
        <w:t xml:space="preserve">ask for, and the refused part is investment that does not happen.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Adaptive expected returns</w:t>
      </w:r>
      <w:r>
        <w:t xml:space="preserve"> </w:t>
      </w:r>
      <w:r>
        <w:t xml:space="preserve">(Block 7). The portfolio responds to an adaptive expectation of each</w:t>
      </w:r>
      <w:r>
        <w:t xml:space="preserve"> </w:t>
      </w:r>
      <w:r>
        <w:t xml:space="preserve">asset’s return instead of last period’s realised return, with a larger scale σ = 4.</w:t>
      </w:r>
    </w:p>
    <w:bookmarkEnd w:id="23"/>
    <w:bookmarkStart w:id="24" w:name="block-0.-initial-state"/>
    <w:p>
      <w:pPr>
        <w:pStyle w:val="Heading1"/>
      </w:pPr>
      <w:r>
        <w:t xml:space="preserve">Block 0. Initial State</w:t>
      </w:r>
    </w:p>
    <w:p>
      <w:pPr>
        <w:pStyle w:val="FirstParagraph"/>
      </w:pPr>
      <w:r>
        <w:t xml:space="preserve">The workbook gives the economy’s flows for 2011 but no stocks: every financial and real stock starts</w:t>
      </w:r>
      <w:r>
        <w:t xml:space="preserve"> </w:t>
      </w:r>
      <w:r>
        <w:t xml:space="preserve">at zero. The model is therefore first run</w:t>
      </w:r>
      <w:r>
        <w:t xml:space="preserve"> </w:t>
      </w:r>
      <w:r>
        <w:rPr>
          <w:b/>
          <w:bCs/>
        </w:rPr>
        <w:t xml:space="preserve">unshocked for 60 periods</w:t>
      </w:r>
      <w:r>
        <w:t xml:space="preserve">, and period 1 of every</w:t>
      </w:r>
      <w:r>
        <w:t xml:space="preserve"> </w:t>
      </w:r>
      <w:r>
        <w:t xml:space="preserve">experiment starts from that run’s last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S</m:t>
              </m:r>
            </m:sub>
            <m:sup>
              <m:r>
                <m:t> </m:t>
              </m:r>
              <m:r>
                <m:rPr>
                  <m:nor/>
                  <m:sty m:val="p"/>
                </m:rPr>
                <m:t>unshocked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60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0.1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Without it, the first thirty or so periods of every experiment were the economy building its</w:t>
      </w:r>
      <w:r>
        <w:t xml:space="preserve"> </w:t>
      </w:r>
      <w:r>
        <w:t xml:space="preserve">stocks. At the start of this run each government has issued a stock of bills to its own central</w:t>
      </w:r>
      <w:r>
        <w:t xml:space="preserve"> </w:t>
      </w:r>
      <w:r>
        <w:t xml:space="preserve">bank (</w:t>
      </w:r>
      <w:r>
        <w:rPr>
          <w:rStyle w:val="VerbatimChar"/>
        </w:rPr>
        <w:t xml:space="preserve">debt_endowment</w:t>
      </w:r>
      <w:r>
        <w:t xml:space="preserve">), which sets the level of public debt at which the economy is stationary; it</w:t>
      </w:r>
      <w:r>
        <w:t xml:space="preserve"> </w:t>
      </w:r>
      <w:r>
        <w:t xml:space="preserve">is one of the calibrated parameters (see Calibration). Ecological accumulators start from the</w:t>
      </w:r>
      <w:r>
        <w:t xml:space="preserve"> </w:t>
      </w:r>
      <w:r>
        <w:t xml:space="preserve">workbook, not from the run.</w:t>
      </w:r>
    </w:p>
    <w:bookmarkEnd w:id="24"/>
    <w:bookmarkStart w:id="25" w:name="block-1.-households"/>
    <w:p>
      <w:pPr>
        <w:pStyle w:val="Heading1"/>
      </w:pPr>
      <w:r>
        <w:t xml:space="preserve">Block 1. Households</w:t>
      </w:r>
    </w:p>
    <w:p>
      <w:pPr>
        <w:pStyle w:val="FirstParagraph"/>
      </w:pPr>
      <w:r>
        <w:t xml:space="preserve">Households’ domestic consumption in real terms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α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3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A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a consumer price index, while</w:t>
      </w:r>
      <w:r>
        <w:t xml:space="preserve"> </w:t>
      </w:r>
      <m:oMath>
        <m:sSubSup>
          <m:e>
            <m:r>
              <m:t>α</m:t>
            </m:r>
          </m:e>
          <m:sub>
            <m:r>
              <m:t>1</m:t>
            </m:r>
          </m:sub>
          <m:sup>
            <m:r>
              <m:t>z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α</m:t>
            </m:r>
          </m:e>
          <m:sub>
            <m:r>
              <m:t>2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α</m:t>
            </m:r>
          </m:e>
          <m:sub>
            <m:r>
              <m:t>3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the</w:t>
      </w:r>
      <w:r>
        <w:t xml:space="preserve"> </w:t>
      </w:r>
      <w:r>
        <w:t xml:space="preserve">propensities to consume out of disposable labour income (</w:t>
      </w:r>
      <m:oMath>
        <m:r>
          <m:t>Y</m:t>
        </m:r>
        <m:sSubSup>
          <m:e>
            <m:r>
              <m:t>D</m:t>
            </m:r>
          </m:e>
          <m:sub>
            <m:r>
              <m:t>w</m:t>
            </m:r>
          </m:sub>
          <m:sup>
            <m:r>
              <m:t>z</m:t>
            </m:r>
          </m:sup>
        </m:sSubSup>
      </m:oMath>
      <w:r>
        <w:t xml:space="preserve">), disposable capital income</w:t>
      </w:r>
      <w:r>
        <w:t xml:space="preserve"> </w:t>
      </w:r>
      <w:r>
        <w:t xml:space="preserve">(</w:t>
      </w:r>
      <m:oMath>
        <m:r>
          <m:t>Y</m:t>
        </m:r>
        <m:sSubSup>
          <m:e>
            <m:r>
              <m:t>D</m:t>
            </m:r>
          </m:e>
          <m:sub>
            <m:r>
              <m:t>c</m:t>
            </m:r>
          </m:sub>
          <m:sup>
            <m:r>
              <m:t>z</m:t>
            </m:r>
          </m:sup>
        </m:sSubSup>
      </m:oMath>
      <w:r>
        <w:t xml:space="preserve">) and net wealth (</w:t>
      </w:r>
      <m:oMath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). Purely adaptive price expectations are assumed: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p</m:t>
                </m:r>
              </m:e>
              <m:sub>
                <m:r>
                  <m:t>A</m:t>
                </m:r>
              </m:sub>
              <m:sup>
                <m:r>
                  <m:t>z</m:t>
                </m:r>
              </m:sup>
            </m:sSubSup>
          </m:e>
        </m:d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z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Disposable income is net domestic income from firms and banks, plus interest on bank deposits and</w:t>
      </w:r>
      <w:r>
        <w:t xml:space="preserve"> </w:t>
      </w:r>
      <w:r>
        <w:t xml:space="preserve">government bills, plus capital gains on holdings of foreign bills and shares, minus taxes and</w:t>
      </w:r>
      <w:r>
        <w:t xml:space="preserve"> </w:t>
      </w:r>
      <w:r>
        <w:t xml:space="preserve">interest on personal loans: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t>I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r>
            <m:t>F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1.2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Interest on foreign bills is converted at the current exchange rate, the date at which</w:t>
      </w:r>
      <w:r>
        <w:t xml:space="preserve"> </w:t>
      </w:r>
      <w:r>
        <w:t xml:space="preserve">the issuer pays it, as in Godley and Lavoie (2007, eq. 12.1). It changes nothing while the exchange</w:t>
      </w:r>
      <w:r>
        <w:t xml:space="preserve"> </w:t>
      </w:r>
      <w:r>
        <w:t xml:space="preserve">rate is fixed.</w:t>
      </w:r>
    </w:p>
    <w:p>
      <w:pPr>
        <w:pStyle w:val="BodyText"/>
      </w:pPr>
      <w:r>
        <w:t xml:space="preserve">Disposable labour income, capital income and net wealth are: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θ</m:t>
                  </m:r>
                </m:e>
                <m:sub>
                  <m:r>
                    <m:t>w</m:t>
                  </m:r>
                </m:sub>
                <m:sup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1.5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(1.3).</w:t>
      </w:r>
      <w:r>
        <w:t xml:space="preserve"> </w:t>
      </w:r>
      <w:r>
        <w:t xml:space="preserve">Labour income is taxed at the effective rate</w:t>
      </w:r>
      <w:r>
        <w:t xml:space="preserve"> </w:t>
      </w:r>
      <m:oMath>
        <m:sSubSup>
          <m:e>
            <m:r>
              <m:t>θ</m:t>
            </m:r>
          </m:e>
          <m:sub>
            <m:r>
              <m:t>w</m:t>
            </m:r>
          </m:sub>
          <m:sup>
            <m:r>
              <m:t>e</m:t>
            </m:r>
            <m:r>
              <m:t>f</m:t>
            </m:r>
            <m:r>
              <m:t>f</m:t>
            </m:r>
            <m:r>
              <m:rPr>
                <m:sty m:val="p"/>
              </m:rPr>
              <m:t>,</m:t>
            </m:r>
            <m:r>
              <m:t>z</m:t>
            </m:r>
          </m:sup>
        </m:sSubSup>
      </m:oMath>
      <w:r>
        <w:t xml:space="preserve"> </w:t>
      </w:r>
      <w:r>
        <w:t xml:space="preserve">of the optional</w:t>
      </w:r>
      <w:r>
        <w:t xml:space="preserve"> </w:t>
      </w:r>
      <w:r>
        <w:t xml:space="preserve">fiscal rule (5.2b). It equals</w:t>
      </w:r>
      <w:r>
        <w:t xml:space="preserve"> </w:t>
      </w:r>
      <m:oMath>
        <m:sSubSup>
          <m:e>
            <m:r>
              <m:t>θ</m:t>
            </m:r>
          </m:e>
          <m:sub>
            <m:r>
              <m:t>w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while the rule is off, as it is in every result reported.</w:t>
      </w:r>
    </w:p>
    <w:p>
      <w:pPr>
        <w:pStyle w:val="BodyText"/>
      </w:pPr>
      <w:r>
        <w:t xml:space="preserve">Four indicators of distribution are reported; no other equation reads them: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h</m:t>
          </m:r>
          <m:sSup>
            <m:e>
              <m:r>
                <m:t>w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n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v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Y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n</m:t>
          </m:r>
          <m:r>
            <m:t>e</m:t>
          </m:r>
          <m:sSup>
            <m:e>
              <m:r>
                <m:t>q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t>n</m:t>
          </m:r>
          <m:r>
            <m:t>e</m:t>
          </m:r>
          <m:sSubSup>
            <m:e>
              <m:r>
                <m:t>q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n</m:t>
          </m:r>
          <m:r>
            <m:t>e</m:t>
          </m:r>
          <m:sSubSup>
            <m:e>
              <m:r>
                <m:t>q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1.9</m:t>
              </m:r>
            </m:e>
          </m:d>
        </m:oMath>
      </m:oMathPara>
    </w:p>
    <w:bookmarkEnd w:id="25"/>
    <w:bookmarkStart w:id="26" w:name="X17ebe9e88a800117379fad768b38e3f2f3158c5"/>
    <w:p>
      <w:pPr>
        <w:pStyle w:val="Heading1"/>
      </w:pPr>
      <w:r>
        <w:t xml:space="preserve">Block 2. Production Firms (Current Account)</w:t>
      </w:r>
    </w:p>
    <w:p>
      <w:pPr>
        <w:pStyle w:val="FirstParagraph"/>
      </w:pPr>
      <w:r>
        <w:t xml:space="preserve">The final demand addressed to each industry of either area is household consumption, government</w:t>
      </w:r>
      <w:r>
        <w:t xml:space="preserve"> </w:t>
      </w:r>
      <w:r>
        <w:t xml:space="preserve">spending, private net investment, replacement of worn-out capital and government investment, each</w:t>
      </w:r>
      <w:r>
        <w:t xml:space="preserve"> </w:t>
      </w:r>
      <w:r>
        <w:t xml:space="preserve">split between domestic and foreign suppliers: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t>Z</m:t>
              </m:r>
              <m:r>
                <m:t>1</m:t>
              </m:r>
            </m:sup>
          </m:sSup>
          <m:sSup>
            <m:e>
              <m:r>
                <m:t>c</m:t>
              </m:r>
            </m:e>
            <m:sup>
              <m:r>
                <m:t>Z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t>Z</m:t>
              </m:r>
              <m:r>
                <m:t>2</m:t>
              </m:r>
            </m:sup>
          </m:sSup>
          <m:sSup>
            <m:e>
              <m:r>
                <m:t>c</m:t>
              </m:r>
            </m:e>
            <m:sup>
              <m:r>
                <m:t>Z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σ</m:t>
                  </m:r>
                </m:e>
              </m:acc>
            </m:e>
            <m:sup>
              <m:r>
                <m:t>Z</m:t>
              </m:r>
              <m:r>
                <m:t>1</m:t>
              </m:r>
            </m:sup>
          </m:s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σ</m:t>
                  </m:r>
                </m:e>
              </m:acc>
            </m:e>
            <m:sup>
              <m:r>
                <m:t>Z</m:t>
              </m:r>
              <m:r>
                <m:t>2</m:t>
              </m:r>
            </m:sup>
          </m:s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z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ι</m:t>
                          </m:r>
                        </m:e>
                      </m:acc>
                    </m:e>
                    <m:sup>
                      <m:r>
                        <m:t>z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i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  <m:r>
                <m:t>1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  <m:r>
                <m:t>2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  <m:r>
                <m:t>2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c</m:t>
            </m:r>
          </m:e>
          <m:sup>
            <m:r>
              <m:t>z</m:t>
            </m:r>
          </m:sup>
        </m:sSup>
      </m:oMath>
      <w:r>
        <w:t xml:space="preserve">,</w:t>
      </w:r>
      <w:r>
        <w:t xml:space="preserve"> </w:t>
      </w:r>
      <m:oMath>
        <m:r>
          <m:t>g</m:t>
        </m:r>
        <m:r>
          <m:t>o</m:t>
        </m:r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real household consumption, government</w:t>
      </w:r>
      <w:r>
        <w:t xml:space="preserve"> </w:t>
      </w:r>
      <w:r>
        <w:t xml:space="preserve">consumption, private gross investment and government investment,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real depreciation, and</w:t>
      </w:r>
      <w:r>
        <w:t xml:space="preserve"> </w:t>
      </w:r>
      <w:r>
        <w:t xml:space="preserve">the tilde marks share vectors whose split between origins responds to relative prices (9.1e).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net-export terms of the submitted (2.1) are absent: in the multi-regional form,</w:t>
      </w:r>
      <w:r>
        <w:t xml:space="preserve"> </w:t>
      </w:r>
      <w:r>
        <w:t xml:space="preserve">trade is already inside the demand vector and the input–output matrix. Investment is split in two.</w:t>
      </w:r>
      <w:r>
        <w:t xml:space="preserve"> </w:t>
      </w:r>
      <w:r>
        <w:t xml:space="preserve">Net investment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t>z</m:t>
            </m:r>
          </m:sup>
        </m:sSubSup>
        <m:r>
          <m:rPr>
            <m:sty m:val="p"/>
          </m:rPr>
          <m:t>−</m:t>
        </m:r>
        <m:r>
          <m:t>d</m:t>
        </m:r>
        <m:sSup>
          <m:e>
            <m:r>
              <m:t>a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bought with the investment shares</w:t>
      </w:r>
      <w:r>
        <w:t xml:space="preserve"> </w:t>
      </w:r>
      <m:oMath>
        <m:sSup>
          <m:e>
            <m:r>
              <m:t>ι</m:t>
            </m:r>
          </m:e>
          <m:sup>
            <m:r>
              <m:t>z</m:t>
            </m:r>
          </m:sup>
        </m:sSup>
      </m:oMath>
      <w:r>
        <w:t xml:space="preserve">, while replacement is</w:t>
      </w:r>
      <w:r>
        <w:t xml:space="preserve"> </w:t>
      </w:r>
      <w:r>
        <w:t xml:space="preserve">the bundle of goods actually worn out,</w:t>
      </w:r>
      <w:r>
        <w:t xml:space="preserve"> </w:t>
      </w:r>
      <m:oMath>
        <m:r>
          <m:t>K</m:t>
        </m:r>
        <m:r>
          <m:t>x</m:t>
        </m:r>
      </m:oMath>
      <w:r>
        <w:t xml:space="preserve">, by product and by origin, from the capital-flow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(8.S1). Government investment (5.1a) is added.</w:t>
      </w:r>
    </w:p>
    <w:p>
      <w:pPr>
        <w:pStyle w:val="BodyText"/>
      </w:pPr>
      <w:r>
        <w:t xml:space="preserve">Once final demands are known, the gross output vector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A</m:t>
                          </m:r>
                        </m:e>
                      </m:acc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the matrix of technical coefficients</w:t>
      </w:r>
      <w:r>
        <w:t xml:space="preserve"> </w:t>
      </w:r>
      <w:r>
        <w:rPr>
          <w:b/>
          <w:bCs/>
        </w:rPr>
        <w:t xml:space="preserve">as operated</w:t>
      </w:r>
      <w:r>
        <w:t xml:space="preserve">: the technology set by the</w:t>
      </w:r>
      <w:r>
        <w:t xml:space="preserve"> </w:t>
      </w:r>
      <w:r>
        <w:t xml:space="preserve">scenarios,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(13.1), with its split between domestic and foreign suppliers re-weighted by relative</w:t>
      </w:r>
      <w:r>
        <w:t xml:space="preserve"> </w:t>
      </w:r>
      <w:r>
        <w:t xml:space="preserve">prices (13.3). Each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associated with an industry, a technique of production and</w:t>
      </w:r>
      <w:r>
        <w:t xml:space="preserve"> </w:t>
      </w:r>
      <w:r>
        <w:t xml:space="preserve">a product.</w:t>
      </w:r>
    </w:p>
    <w:p>
      <w:pPr>
        <w:pStyle w:val="BodyText"/>
      </w:pPr>
      <w:r>
        <w:t xml:space="preserve">Two totals are reported, total final demand and total real gross output: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sSup>
            <m:e>
              <m:r>
                <m:t>O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2.3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monetary value of gross output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z</m:t>
              </m:r>
              <m:r>
                <m:t>T</m:t>
              </m:r>
            </m:sup>
          </m:sSup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2.3</m:t>
              </m:r>
            </m:e>
          </m:d>
        </m:oMath>
      </m:oMathPara>
    </w:p>
    <w:p>
      <w:pPr>
        <w:pStyle w:val="FirstParagraph"/>
      </w:pPr>
      <w:r>
        <w:t xml:space="preserve">Net income is aggregate nominal demand for final products, net of VAT and tariffs: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Replacement is valued at the price of the replacement bundle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(8.5b),</w:t>
      </w:r>
      <w:r>
        <w:t xml:space="preserve"> </w:t>
      </w:r>
      <w:r>
        <w:t xml:space="preserve">government investment is added, and tariffs are the consistent tariff revenue (5.4).</w:t>
      </w:r>
    </w:p>
    <w:p>
      <w:pPr>
        <w:pStyle w:val="BodyText"/>
      </w:pPr>
      <w:r>
        <w:t xml:space="preserve">Value added is also computed from the production side, at the prices actually received and paid: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v</m:t>
              </m:r>
              <m:r>
                <m:rPr>
                  <m:sty m:val="b"/>
                </m:rP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r</m:t>
                  </m:r>
                </m:e>
                <m:sup>
                  <m:r>
                    <m:t>f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C</m:t>
                  </m:r>
                  <m:r>
                    <m:rPr>
                      <m:sty m:val="b"/>
                    </m:rPr>
                    <m:t>V</m:t>
                  </m:r>
                </m:e>
                <m:sup>
                  <m:r>
                    <m:t>f</m:t>
                  </m:r>
                </m:sup>
              </m:sSup>
            </m:e>
          </m:d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m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q</m:t>
              </m:r>
            </m:e>
            <m:sub>
              <m:r>
                <m:t>a</m:t>
              </m:r>
            </m:sub>
            <m:sup>
              <m:r>
                <m:t>z</m:t>
              </m:r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Exports earn their customs value, and inputs are charged at the buyer prices firms pay</w:t>
      </w:r>
      <w:r>
        <w:t xml:space="preserve"> </w:t>
      </w:r>
      <w:r>
        <w:t xml:space="preserve">(8.S6), so that value added summed over industries equals net income. The same quantities at last</w:t>
      </w:r>
      <w:r>
        <w:t xml:space="preserve"> </w:t>
      </w:r>
      <w:r>
        <w:t xml:space="preserve">period’s prices give a volume measure and its chained index: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v</m:t>
              </m:r>
              <m:r>
                <m:rPr>
                  <m:sty m:val="b"/>
                </m:rP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x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r>
                <m:t> </m:t>
              </m:r>
              <m:sSubSup>
                <m:e>
                  <m:r>
                    <m:rPr>
                      <m:sty m:val="b"/>
                    </m:rPr>
                    <m:t>C</m:t>
                  </m:r>
                  <m:r>
                    <m:rPr>
                      <m:sty m:val="b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m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q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c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v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d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/</m:t>
          </m:r>
          <m:r>
            <m:t>V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e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f</m:t>
              </m:r>
            </m:e>
          </m:d>
        </m:oMath>
      </m:oMathPara>
    </w:p>
    <w:p>
      <w:pPr>
        <w:pStyle w:val="FirstParagraph"/>
      </w:pPr>
      <w:r>
        <w:t xml:space="preserve">Total corporate profit and its retained part are as in the submitted description: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Sup>
            <m:e>
              <m:r>
                <m:t>F</m:t>
              </m:r>
            </m:e>
            <m:sub>
              <m:r>
                <m:t>u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t> 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bSup>
                </m:e>
              </m:d>
            </m:num>
            <m:den>
              <m:r>
                <m:t>F</m:t>
              </m:r>
              <m:sSubSup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 </m:t>
          </m:r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2.6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l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the interest rate on firms’ loans</w:t>
      </w:r>
      <w:r>
        <w:t xml:space="preserve"> </w:t>
      </w:r>
      <m:oMath>
        <m:sSubSup>
          <m:e>
            <m:r>
              <m:t>L</m:t>
            </m:r>
          </m:e>
          <m:sub>
            <m:r>
              <m:t>F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sSup>
          <m:e>
            <m:r>
              <m:t>F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are amortization funds.</w:t>
      </w:r>
    </w:p>
    <w:p>
      <w:pPr>
        <w:pStyle w:val="BodyText"/>
      </w:pPr>
      <w:r>
        <w:rPr>
          <w:i/>
          <w:iCs/>
        </w:rPr>
        <w:t xml:space="preserve">Departure (2.6).</w:t>
      </w:r>
      <w:r>
        <w:t xml:space="preserve"> </w:t>
      </w:r>
      <w:r>
        <w:t xml:space="preserve">In the submitted description, and in 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, firms retain a constant share</w:t>
      </w:r>
      <w:r>
        <w:t xml:space="preserve"> </w:t>
      </w:r>
      <m:oMath>
        <m:sSup>
          <m:e>
            <m:r>
              <m:t>ω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of profit in addition to amortization. Here retained profit finances a share</w:t>
      </w:r>
      <w:r>
        <w:t xml:space="preserve"> </w:t>
      </w:r>
      <m:oMath>
        <m:sSub>
          <m:e>
            <m: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of the net investment a scenario adds: lagged net investment above that of the same</w:t>
      </w:r>
      <w:r>
        <w:t xml:space="preserve"> </w:t>
      </w:r>
      <w:r>
        <w:t xml:space="preserve">arm’s unshocked path at the same date (the superscript 0 marks that path). The term is therefore zero</w:t>
      </w:r>
      <w:r>
        <w:t xml:space="preserve"> </w:t>
      </w:r>
      <w:r>
        <w:t xml:space="preserve">in the baseline and before the shock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70</m:t>
        </m:r>
      </m:oMath>
      <w:r>
        <w:t xml:space="preserve">. A constant share of profit was tried first</w:t>
      </w:r>
      <w:r>
        <w:t xml:space="preserve"> </w:t>
      </w:r>
      <w:r>
        <w:t xml:space="preserve">(arm</w:t>
      </w:r>
      <w:r>
        <w:t xml:space="preserve"> </w:t>
      </w:r>
      <w:r>
        <w:rPr>
          <w:rStyle w:val="VerbatimChar"/>
        </w:rPr>
        <w:t xml:space="preserve">revised_finance</w:t>
      </w:r>
      <w:r>
        <w:t xml:space="preserve">, 9 October) and was rejected because, with no use for it, it accumulates firm</w:t>
      </w:r>
      <w:r>
        <w:t xml:space="preserve"> </w:t>
      </w:r>
      <w:r>
        <w:t xml:space="preserve">assets without bound.</w:t>
      </w:r>
    </w:p>
    <w:bookmarkEnd w:id="26"/>
    <w:bookmarkStart w:id="27" w:name="X999cdbe03feabe4129b98495a55eb8ed9cc657b"/>
    <w:p>
      <w:pPr>
        <w:pStyle w:val="Heading1"/>
      </w:pPr>
      <w:r>
        <w:t xml:space="preserve">Block 3. Production Firms (Capital Account)</w:t>
      </w:r>
    </w:p>
    <w:p>
      <w:pPr>
        <w:pStyle w:val="FirstParagraph"/>
      </w:pPr>
      <w:r>
        <w:t xml:space="preserve">The target stock of fixed capital, in real terms, and real gross investment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  <m:r>
                    <m:t>T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⊙</m:t>
                  </m:r>
                  <m:sSub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</m:num>
            <m:den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bSup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e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e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bSup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z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R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/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h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the vector of industry target capital–output ratios,</w:t>
      </w:r>
      <w:r>
        <w:t xml:space="preserve"> </w:t>
      </w:r>
      <m:oMath>
        <m:sSup>
          <m:e>
            <m:r>
              <m:t>γ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 speed of</w:t>
      </w:r>
      <w:r>
        <w:t xml:space="preserve"> </w:t>
      </w:r>
      <w:r>
        <w:t xml:space="preserve">adjustment, and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the responses of the target to the enterprise margin</w:t>
      </w:r>
      <w:r>
        <w:t xml:space="preserve"> </w:t>
      </w:r>
      <w:r>
        <w:t xml:space="preserve">and to leverage. The enterprise margin is the rate of profit actually earned on the capital advanced,</w:t>
      </w:r>
      <w:r>
        <w:t xml:space="preserve"> </w:t>
      </w:r>
      <m:oMath>
        <m:sSup>
          <m:e>
            <m:r>
              <m:t>ρ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(3.1b), less the loan rate; leverage</w:t>
      </w:r>
      <w:r>
        <w:t xml:space="preserve"> </w:t>
      </w:r>
      <m:oMath>
        <m:r>
          <m:t>l</m:t>
        </m:r>
        <m:r>
          <m:t>e</m:t>
        </m:r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(3.6d) is loans over the value of the capital</w:t>
      </w:r>
      <w:r>
        <w:t xml:space="preserve"> </w:t>
      </w:r>
      <w:r>
        <w:t xml:space="preserve">stock. Both enter as differences from the same arm’s unshocked path, so the curly bracket is one in</w:t>
      </w:r>
      <w:r>
        <w:t xml:space="preserve"> </w:t>
      </w:r>
      <w:r>
        <w:t xml:space="preserve">the baseline and before the shock.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sSup>
                <m:e>
                  <m:r>
                    <m:t>F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3.1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(3.1).</w:t>
      </w:r>
      <w:r>
        <w:t xml:space="preserve"> </w:t>
      </w:r>
      <w:r>
        <w:t xml:space="preserve">Two changes.</w:t>
      </w:r>
      <w:r>
        <w:t xml:space="preserve"> </w:t>
      </w:r>
      <w:r>
        <w:rPr>
          <w:b/>
          <w:bCs/>
        </w:rPr>
        <w:t xml:space="preserve">The ratios</w:t>
      </w:r>
      <w:r>
        <w:rPr>
          <w:b/>
          <w:bCs/>
        </w:rPr>
        <w:t xml:space="preserve"> </w:t>
      </w:r>
      <m:oMath>
        <m:sSubSup>
          <m:e>
            <m:r>
              <m:t>h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come from data.</w:t>
      </w:r>
      <w:r>
        <w:t xml:space="preserve"> </w:t>
      </w:r>
      <w:r>
        <w:t xml:space="preserve">In 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 </w:t>
      </w:r>
      <w:r>
        <w:t xml:space="preserve">they were the</w:t>
      </w:r>
      <w:r>
        <w:t xml:space="preserve"> </w:t>
      </w:r>
      <w:r>
        <w:t xml:space="preserve">workbook’s uniform values; here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, consumption of fixed capital per unit of output</w:t>
      </w:r>
      <w:r>
        <w:t xml:space="preserve"> </w:t>
      </w:r>
      <w:r>
        <w:t xml:space="preserve">divided by the Eurostat 2011 depreciation rate of the industry’s NACE section, with real estate on its</w:t>
      </w:r>
      <w:r>
        <w:t xml:space="preserve"> </w:t>
      </w:r>
      <w:r>
        <w:t xml:space="preserve">non-dwelling stock only (workbook</w:t>
      </w:r>
      <w:r>
        <w:t xml:space="preserve"> </w:t>
      </w:r>
      <w:r>
        <w:rPr>
          <w:rStyle w:val="VerbatimChar"/>
        </w:rPr>
        <w:t xml:space="preserve">canonical_initial_state_capital.xlsx</w:t>
      </w:r>
      <w:r>
        <w:t xml:space="preserve">, 10 October). This makes the</w:t>
      </w:r>
      <w:r>
        <w:t xml:space="preserve"> </w:t>
      </w:r>
      <w:r>
        <w:t xml:space="preserve">capital stock about four times larger and is what gives firms a debt worth constraining. Prices do not</w:t>
      </w:r>
      <w:r>
        <w:t xml:space="preserve"> </w:t>
      </w:r>
      <w:r>
        <w:t xml:space="preserve">read</w:t>
      </w:r>
      <w:r>
        <w:t xml:space="preserve"> </w:t>
      </w:r>
      <m:oMath>
        <m:r>
          <m:t>h</m:t>
        </m:r>
      </m:oMath>
      <w:r>
        <w:t xml:space="preserve">: the price of production reads the capital-flow matrix</w:t>
      </w:r>
      <w:r>
        <w:t xml:space="preserve"> </w:t>
      </w:r>
      <m:oMath>
        <m:r>
          <m:t>K</m:t>
        </m:r>
      </m:oMath>
      <w:r>
        <w:t xml:space="preserve">, whose columns sum to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target responds to finance</w:t>
      </w:r>
      <w:r>
        <w:t xml:space="preserve"> </w:t>
      </w:r>
      <w:r>
        <w:t xml:space="preserve">(design (a) of 9 October): a firm whose margin over the loan rate falls,</w:t>
      </w:r>
      <w:r>
        <w:t xml:space="preserve"> </w:t>
      </w:r>
      <w:r>
        <w:t xml:space="preserve">or whose leverage rises, relative to the unshocked path, wants less capital. The coefficients are</w:t>
      </w:r>
      <w:r>
        <w:t xml:space="preserve"> </w:t>
      </w:r>
      <w:r>
        <w:t xml:space="preserve">stress settings, five times those of the calibrated finance arm.</w:t>
      </w:r>
    </w:p>
    <w:p>
      <w:pPr>
        <w:pStyle w:val="BodyText"/>
      </w:pPr>
      <w:r>
        <w:rPr>
          <w:i/>
          <w:iCs/>
        </w:rPr>
        <w:t xml:space="preserve">Departure (3.2).</w:t>
      </w:r>
      <w:r>
        <w:t xml:space="preserve"> </w:t>
      </w:r>
      <w:r>
        <w:t xml:space="preserve">Investment is net of the loans banks refuse,</w:t>
      </w:r>
      <w:r>
        <w:t xml:space="preserve"> </w:t>
      </w:r>
      <m:oMath>
        <m:r>
          <m:t>R</m:t>
        </m:r>
        <m:r>
          <m:t>A</m:t>
        </m:r>
        <m:sSup>
          <m:e>
            <m:r>
              <m:t>T</m:t>
            </m:r>
          </m:e>
          <m:sup>
            <m:r>
              <m:t>z</m:t>
            </m:r>
          </m:sup>
        </m:sSup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(3.6c). The refused part</w:t>
      </w:r>
      <w:r>
        <w:t xml:space="preserve"> </w:t>
      </w:r>
      <w:r>
        <w:t xml:space="preserve">of desired investment does not happen (Dafermos, Nikolaidi and Galanis 2017, eqs. 75–76). The</w:t>
      </w:r>
      <w:r>
        <w:t xml:space="preserve"> </w:t>
      </w:r>
      <w:r>
        <w:t xml:space="preserve">autonomous private term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of the submitted code is dropped (the 22 September adjudication).</w:t>
      </w:r>
    </w:p>
    <w:p>
      <w:pPr>
        <w:pStyle w:val="BodyText"/>
      </w:pPr>
      <w:r>
        <w:t xml:space="preserve">Real depreciation is the sum of each industry’s depreciation per unit of output: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3.3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consumption of fixed capital per unit of gross output (EXIOBASE 2011).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form</w:t>
      </w:r>
      <w:r>
        <w:t xml:space="preserve"> </w:t>
      </w:r>
      <m:oMath>
        <m:sSup>
          <m:e>
            <m:r>
              <m:t>δ</m:t>
            </m:r>
          </m:e>
          <m:sup>
            <m:r>
              <m:t>z</m:t>
            </m:r>
          </m:sup>
        </m:sSup>
        <m:sSubSup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charged a different depreciation from the one the</w:t>
      </w:r>
      <w:r>
        <w:t xml:space="preserve"> </w:t>
      </w:r>
      <w:r>
        <w:t xml:space="preserve">prices of production recover. With (3.3) there is one depreciation, consistent with the price</w:t>
      </w:r>
      <w:r>
        <w:t xml:space="preserve"> </w:t>
      </w:r>
      <w:r>
        <w:t xml:space="preserve">equation (8.1), since the columns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sum to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capital stock, amortization funds and firms’ demand for loans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z</m:t>
              </m:r>
            </m:sup>
          </m:sSup>
          <m:r>
            <m:t>Δ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F</m:t>
          </m:r>
          <m:sSubSup>
            <m:e>
              <m:r>
                <m:t>F</m:t>
              </m:r>
            </m:e>
            <m:sub>
              <m:r>
                <m:t>u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(3.5, 3.6).</w:t>
      </w:r>
      <w:r>
        <w:t xml:space="preserve"> </w:t>
      </w:r>
      <w:r>
        <w:t xml:space="preserve">Replacement is valued at the price of the replacement bundle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w:r>
        <w:t xml:space="preserve">net investment at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z</m:t>
            </m:r>
          </m:sup>
        </m:sSubSup>
      </m:oMath>
      <w:r>
        <w:t xml:space="preserve">. Firms have no net worth: loans and shares together finance the capital</w:t>
      </w:r>
      <w:r>
        <w:t xml:space="preserve"> </w:t>
      </w:r>
      <w:r>
        <w:t xml:space="preserve">stock,</w:t>
      </w:r>
      <w:r>
        <w:t xml:space="preserve"> </w:t>
      </w:r>
      <m:oMath>
        <m:sSubSup>
          <m:e>
            <m:r>
              <m:t>L</m:t>
            </m:r>
          </m:e>
          <m:sub>
            <m:r>
              <m:t>F</m:t>
            </m:r>
          </m:sub>
          <m:sup>
            <m:r>
              <m:t>z</m:t>
            </m:r>
          </m:sup>
        </m:sSubSup>
        <m:r>
          <m:rPr>
            <m:sty m:val="p"/>
          </m:rPr>
          <m:t>+</m:t>
        </m:r>
        <m:sSubSup>
          <m:e>
            <m:r>
              <m:t>E</m:t>
            </m:r>
          </m:e>
          <m:sub>
            <m:r>
              <m:t>s</m:t>
            </m:r>
          </m:sub>
          <m:sup>
            <m:r>
              <m:t>z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z</m:t>
            </m:r>
          </m:sup>
        </m:sSubSup>
        <m:sSup>
          <m:e>
            <m:r>
              <m:t>k</m:t>
            </m:r>
          </m:e>
          <m:sup>
            <m:r>
              <m:t>z</m:t>
            </m:r>
          </m:sup>
        </m:sSup>
      </m:oMath>
      <w:r>
        <w:t xml:space="preserve">, and loans are the residual of (3.6). Since share issues are set by</w:t>
      </w:r>
      <w:r>
        <w:t xml:space="preserve"> </w:t>
      </w:r>
      <w:r>
        <w:t xml:space="preserve">households’ demand for equity (3.7), firms’ leverage is set by households’ portfolio choice.</w:t>
      </w:r>
    </w:p>
    <w:p>
      <w:pPr>
        <w:pStyle w:val="BodyText"/>
      </w:pPr>
      <w:r>
        <w:rPr>
          <w:b/>
          <w:bCs/>
        </w:rPr>
        <w:t xml:space="preserve">Credit rationing</w:t>
      </w:r>
      <w:r>
        <w:t xml:space="preserve"> </w:t>
      </w:r>
      <w:r>
        <w:t xml:space="preserve">(design (b), 10 October). Firms’ demand for new loans is (3.6) evaluated at the</w:t>
      </w:r>
      <w:r>
        <w:t xml:space="preserve"> </w:t>
      </w:r>
      <w:r>
        <w:t xml:space="preserve">investment they desire, before any refusal: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p>
            <m:e>
              <m:r>
                <m:t>L</m:t>
              </m:r>
            </m:e>
            <m:sup>
              <m:r>
                <m:t>D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F</m:t>
          </m:r>
          <m:sSubSup>
            <m:e>
              <m:r>
                <m:t>F</m:t>
              </m:r>
            </m:e>
            <m:sub>
              <m:r>
                <m:t>u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Banks refuse a share of the additional loans a scenario makes firms ask for. The share rises with</w:t>
      </w:r>
      <w:r>
        <w:t xml:space="preserve"> </w:t>
      </w:r>
      <w:r>
        <w:t xml:space="preserve">leverage, as in Dafermos, Nikolaidi and Galanis (2017, eqs. 100–101), and is capped at one, as in</w:t>
      </w:r>
      <w:r>
        <w:t xml:space="preserve"> </w:t>
      </w:r>
      <w:r>
        <w:t xml:space="preserve">DEFINE: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l</m:t>
                      </m:r>
                      <m:r>
                        <m:t>e</m:t>
                      </m:r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e</m:t>
                      </m:r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</m:e>
                  </m:d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  <m:r>
                <m:t>c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e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t> </m:t>
          </m:r>
          <m:r>
            <m:rPr>
              <m:sty m:val="p"/>
            </m:rPr>
            <m:t>/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</m:sup>
              </m:sSubSup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t>z</m:t>
                  </m:r>
                </m:sup>
              </m:s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Both references,</w:t>
      </w:r>
      <w:r>
        <w:t xml:space="preserve"> </w:t>
      </w:r>
      <m:oMath>
        <m:r>
          <m:t>l</m:t>
        </m:r>
        <m:r>
          <m:t>e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sSubSup>
          <m:e>
            <m:r>
              <m:t>L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  <m:sup>
            <m:r>
              <m:t>D</m:t>
            </m:r>
          </m:sup>
        </m:sSubSup>
      </m:oMath>
      <w:r>
        <w:t xml:space="preserve">, are</w:t>
      </w:r>
      <w:r>
        <w:t xml:space="preserve"> </w:t>
      </w:r>
      <w:r>
        <w:t xml:space="preserve">the same arm’s unshocked path at the same date. Banks therefore refuse nothing in the baseline: the</w:t>
      </w:r>
      <w:r>
        <w:t xml:space="preserve"> </w:t>
      </w:r>
      <w:r>
        <w:t xml:space="preserve">credit the baseline grants is the credit calibrated to 2011 loans, and banks ration only what an</w:t>
      </w:r>
      <w:r>
        <w:t xml:space="preserve"> </w:t>
      </w:r>
      <w:r>
        <w:t xml:space="preserve">intervention adds. Banks never call loans in (</w:t>
      </w:r>
      <m:oMath>
        <m:r>
          <m:t>R</m:t>
        </m:r>
        <m:r>
          <m:t>A</m:t>
        </m:r>
        <m:r>
          <m:t>T</m:t>
        </m:r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sSup>
              <m:e>
                <m:r>
                  <m:t>L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). The refusal is one-sided by</w:t>
      </w:r>
      <w:r>
        <w:t xml:space="preserve"> </w:t>
      </w:r>
      <w:r>
        <w:t xml:space="preserve">construction: a scenario that lowers loan demand is not rationed at all.</w:t>
      </w:r>
    </w:p>
    <w:p>
      <w:pPr>
        <w:pStyle w:val="BodyText"/>
      </w:pPr>
      <w:r>
        <w:rPr>
          <w:i/>
          <w:iCs/>
        </w:rPr>
        <w:t xml:space="preserve">New.</w:t>
      </w:r>
      <w:r>
        <w:t xml:space="preserve"> </w:t>
      </w:r>
      <w:r>
        <w:t xml:space="preserve">The coefficients are stress settings. The calibrated credit arm</w:t>
      </w:r>
      <w:r>
        <w:t xml:space="preserve"> </w:t>
      </w:r>
      <w:r>
        <w:rPr>
          <w:rStyle w:val="VerbatimChar"/>
        </w:rPr>
        <w:t xml:space="preserve">revised_capital_credit</w:t>
      </w:r>
      <w:r>
        <w:t xml:space="preserve"> </w:t>
      </w:r>
      <w:r>
        <w:t xml:space="preserve">uses</w:t>
      </w:r>
      <w:r>
        <w:t xml:space="preserve"> </w:t>
      </w:r>
      <w:r>
        <w:t xml:space="preserve">Dafermos, Nikolaidi and Galanis’s own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. A hard leverage ceiling, the</w:t>
      </w:r>
      <w:r>
        <w:t xml:space="preserve"> </w:t>
      </w:r>
      <w:r>
        <w:t xml:space="preserve">alternative form, is arm</w:t>
      </w:r>
      <w:r>
        <w:t xml:space="preserve"> </w:t>
      </w:r>
      <w:r>
        <w:rPr>
          <w:rStyle w:val="VerbatimChar"/>
        </w:rPr>
        <w:t xml:space="preserve">revised_capital_ceiling</w:t>
      </w:r>
      <w:r>
        <w:t xml:space="preserve">.</w:t>
      </w:r>
    </w:p>
    <w:p>
      <w:pPr>
        <w:pStyle w:val="BodyText"/>
      </w:pPr>
      <w:r>
        <w:t xml:space="preserve">Share issues are demand-led, and the return on shares and dividends 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x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  <m:r>
                <m:t>F</m:t>
              </m:r>
              <m:sSup>
                <m:e>
                  <m:r>
                    <m:t>F</m:t>
                  </m:r>
                </m:e>
                <m:sup>
                  <m:r>
                    <m:t>z</m:t>
                  </m:r>
                </m:sup>
              </m:s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z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 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f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f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3.10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(3.10).</w:t>
      </w:r>
      <w:r>
        <w:t xml:space="preserve"> </w:t>
      </w:r>
      <w:r>
        <w:t xml:space="preserve">Foreign shares are held in the holder’s currency and converted once. The previous</w:t>
      </w:r>
      <w:r>
        <w:t xml:space="preserve"> </w:t>
      </w:r>
      <w:r>
        <w:t xml:space="preserve">form converted the foreign dividend twice. That changes nothing at a fixed exchange rate, but under a</w:t>
      </w:r>
      <w:r>
        <w:t xml:space="preserve"> </w:t>
      </w:r>
      <w:r>
        <w:t xml:space="preserve">floating rate it leaked gold out of the world balance.</w:t>
      </w:r>
    </w:p>
    <w:bookmarkEnd w:id="27"/>
    <w:bookmarkStart w:id="28" w:name="block-4.-commercial-banks"/>
    <w:p>
      <w:pPr>
        <w:pStyle w:val="Heading1"/>
      </w:pPr>
      <w:r>
        <w:t xml:space="preserve">Block 4. Commercial Banks</w:t>
      </w:r>
    </w:p>
    <w:p>
      <w:pPr>
        <w:pStyle w:val="FirstParagraph"/>
      </w:pPr>
      <w:r>
        <w:t xml:space="preserve">Banks supply loans and deposits on demand: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4.2</m:t>
              </m:r>
            </m:e>
          </m:d>
        </m:oMath>
      </m:oMathPara>
    </w:p>
    <w:p>
      <w:pPr>
        <w:pStyle w:val="FirstParagraph"/>
      </w:pPr>
      <w:r>
        <w:t xml:space="preserve">Banks hold government bills as a fixed share of their deposits, and borrow from (or deposit at) the</w:t>
      </w:r>
      <w:r>
        <w:t xml:space="preserve"> </w:t>
      </w:r>
      <w:r>
        <w:t xml:space="preserve">central bank to balance their balance sheet: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 the submitted form, banks held bills only when deposits exceeded loans, as the</w:t>
      </w:r>
      <w:r>
        <w:t xml:space="preserve"> </w:t>
      </w:r>
      <w:r>
        <w:t xml:space="preserve">residual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. Over a long run, that let RoW banks hold more RoW bills than had been issued.</w:t>
      </w:r>
      <w:r>
        <w:t xml:space="preserve"> </w:t>
      </w:r>
      <w:r>
        <w:t xml:space="preserve">Here bills are a demand, and advances are the residual; negative advances are banks’ deposits at the</w:t>
      </w:r>
      <w:r>
        <w:t xml:space="preserve"> </w:t>
      </w:r>
      <w:r>
        <w:t xml:space="preserve">central bank (Godley and Lavoie 2007, ch. 10).</w:t>
      </w:r>
      <w:r>
        <w:t xml:space="preserve"> </w:t>
      </w:r>
      <m:oMath>
        <m:sSubSup>
          <m:e>
            <m:r>
              <m:t>β</m:t>
            </m:r>
          </m:e>
          <m:sub>
            <m:r>
              <m:t>b</m:t>
            </m:r>
          </m:sub>
          <m:sup>
            <m:r>
              <m:t>z</m:t>
            </m:r>
          </m:sup>
        </m:sSubSup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BodyText"/>
      </w:pPr>
      <w:r>
        <w:t xml:space="preserve">Bank profit is entirely distributed to households: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4.5</m:t>
              </m:r>
            </m:e>
          </m:d>
        </m:oMath>
      </m:oMathPara>
    </w:p>
    <w:bookmarkEnd w:id="28"/>
    <w:bookmarkStart w:id="29" w:name="block-5.-government-and-central-bank"/>
    <w:p>
      <w:pPr>
        <w:pStyle w:val="Heading1"/>
      </w:pPr>
      <w:r>
        <w:t xml:space="preserve">Block 5. Government and Central Bank</w:t>
      </w:r>
    </w:p>
    <w:p>
      <w:pPr>
        <w:pStyle w:val="FirstParagraph"/>
      </w:pPr>
      <w:r>
        <w:t xml:space="preserve">Real government consumption grows at an exogenous rate: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</m:e>
          </m:d>
        </m:oMath>
      </m:oMathPara>
    </w:p>
    <w:p>
      <w:pPr>
        <w:pStyle w:val="FirstParagraph"/>
      </w:pPr>
      <w:r>
        <w:t xml:space="preserve">Government investment follows an accelerator towards a target public capital stock: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k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k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δ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k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c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g</m:t>
              </m:r>
            </m:sub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κ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 </m:t>
          </m:r>
          <m:r>
            <m:t>y</m:t>
          </m:r>
          <m:sSubSup>
            <m:e>
              <m:r>
                <m:t>n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 </m:t>
          </m:r>
          <m:r>
            <m:rPr>
              <m:sty m:val="p"/>
            </m:rPr>
            <m:t>/</m:t>
          </m:r>
          <m:r>
            <m:t> 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The submitted code already carried government investment; the description did not. In 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 </w:t>
      </w:r>
      <w:r>
        <w:t xml:space="preserve">it was a constant, 50 (EU) and 230 (RoW) per period, 20% of 2011 gross fixed capital</w:t>
      </w:r>
      <w:r>
        <w:t xml:space="preserve"> </w:t>
      </w:r>
      <w:r>
        <w:t xml:space="preserve">formation, with no depreciation, so the public capital stock grew without limit. Here government</w:t>
      </w:r>
      <w:r>
        <w:t xml:space="preserve"> </w:t>
      </w:r>
      <w:r>
        <w:t xml:space="preserve">investment is the firms’ accelerator (3.2) written for government, with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, the firms’</w:t>
      </w:r>
      <w:r>
        <w:t xml:space="preserve"> </w:t>
      </w:r>
      <w:r>
        <w:t xml:space="preserve">speed of adjustment. Public capital depreciates at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0.0548</m:t>
        </m:r>
      </m:oMath>
      <w:r>
        <w:t xml:space="preserve"> </w:t>
      </w:r>
      <w:r>
        <w:t xml:space="preserve">(Eurostat 2011, general</w:t>
      </w:r>
      <w:r>
        <w:t xml:space="preserve"> </w:t>
      </w:r>
      <w:r>
        <w:t xml:space="preserve">government consumption of fixed capital over its net stock, pooled over 23 EU countries; RoW takes the</w:t>
      </w:r>
      <w:r>
        <w:t xml:space="preserve"> </w:t>
      </w:r>
      <w:r>
        <w:t xml:space="preserve">EU rate). The target ratio</w:t>
      </w:r>
      <w:r>
        <w:t xml:space="preserve"> </w:t>
      </w:r>
      <m:oMath>
        <m:sSubSup>
          <m:e>
            <m:r>
              <m:t>κ</m:t>
            </m:r>
          </m:e>
          <m:sub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(0.852 EU, 1.076 RoW) is set so that stationary government</w:t>
      </w:r>
      <w:r>
        <w:t xml:space="preserve"> </w:t>
      </w:r>
      <w:r>
        <w:t xml:space="preserve">investment equals the old constant (decision D-36): baseline flows are unchanged, and the public</w:t>
      </w:r>
      <w:r>
        <w:t xml:space="preserve"> </w:t>
      </w:r>
      <w:r>
        <w:t xml:space="preserve">capital stock is a by-product of that flow 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 not a calibration target.</w:t>
      </w:r>
    </w:p>
    <w:p>
      <w:pPr>
        <w:pStyle w:val="BodyText"/>
      </w:pPr>
      <w:r>
        <w:t xml:space="preserve">Income taxes are levied at average rates on labour and capital incomes: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e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θ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I</m:t>
              </m:r>
              <m:sSup>
                <m:e>
                  <m:r>
                    <m:t>V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</m:e>
          </m:d>
        </m:oMath>
      </m:oMathPara>
    </w:p>
    <w:p>
      <w:pPr>
        <w:pStyle w:val="FirstParagraph"/>
      </w:pPr>
      <w:r>
        <w:t xml:space="preserve">Two debt-stabilising fiscal rules are available, a lump-sum tax and a tax-rate rule. Both are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t xml:space="preserve">) in every result reported: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ψ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b</m:t>
                  </m:r>
                </m:e>
              </m:acc>
              <m:r>
                <m:t> 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e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ψ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VAT is paid by households on the duty-inclusive price; tariffs fall on the customs value of every</w:t>
      </w:r>
      <w:r>
        <w:t xml:space="preserve"> </w:t>
      </w:r>
      <w:r>
        <w:t xml:space="preserve">imported unit, intermediate and final: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 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β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Sup>
                <m:e>
                  <m:r>
                    <m:t>τ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 </m:t>
          </m:r>
          <m:r>
            <m:t>C</m:t>
          </m:r>
          <m:sSubSup>
            <m:e>
              <m:r>
                <m:t>V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tariff base was a real volume valued at a price that included the</w:t>
      </w:r>
      <w:r>
        <w:t xml:space="preserve"> </w:t>
      </w:r>
      <w:r>
        <w:t xml:space="preserve">exporter’s VAT. Under the consistent valuation,</w:t>
      </w:r>
      <w:r>
        <w:t xml:space="preserve"> </w:t>
      </w:r>
      <m:oMath>
        <m:r>
          <m:t>C</m:t>
        </m:r>
        <m:sSubSup>
          <m:e>
            <m:r>
              <m:t>V</m:t>
            </m:r>
          </m:e>
          <m:sub>
            <m:r>
              <m:t>s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the pre-duty value of the import (9.1b),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m</m:t>
            </m:r>
          </m:e>
          <m:sub>
            <m:r>
              <m:t>s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the total import of good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(9.1c).</w:t>
      </w:r>
    </w:p>
    <w:p>
      <w:pPr>
        <w:pStyle w:val="BodyText"/>
      </w:pPr>
      <w:r>
        <w:t xml:space="preserve">The government deficit, the stock of bills and the debt ratio are: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c</m:t>
              </m:r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debt_gdp</m:t>
          </m:r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(5.5).</w:t>
      </w:r>
      <w:r>
        <w:t xml:space="preserve"> </w:t>
      </w:r>
      <w:r>
        <w:t xml:space="preserve">Government investment is added to the deficit.</w:t>
      </w:r>
    </w:p>
    <w:p>
      <w:pPr>
        <w:pStyle w:val="BodyText"/>
      </w:pPr>
      <w:r>
        <w:t xml:space="preserve">Advances, cash and bills are supplied on demand, and the central bank’s profit returns to the</w:t>
      </w:r>
      <w:r>
        <w:t xml:space="preserve"> </w:t>
      </w:r>
      <w:r>
        <w:t xml:space="preserve">treasury: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5.7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5.7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</m:e>
          </m:d>
        </m:oMath>
      </m:oMathPara>
    </w:p>
    <w:p>
      <w:pPr>
        <w:pStyle w:val="FirstParagraph"/>
      </w:pPr>
      <w:r>
        <w:t xml:space="preserve">The policy rate is exogenous, plus a premium in the reserve-holding area, and the other interest</w:t>
      </w:r>
      <w:r>
        <w:t xml:space="preserve"> </w:t>
      </w:r>
      <w:r>
        <w:t xml:space="preserve">rates are mark-ups over it: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t>r</m:t>
          </m:r>
          <m:r>
            <m:t>e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f</m:t>
          </m:r>
          <m:sSup>
            <m:e>
              <m:r>
                <m:t>l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n</m:t>
          </m:r>
          <m:r>
            <m:t>f</m:t>
          </m:r>
          <m:sSubSup>
            <m:e>
              <m:r>
                <m:t>l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C</m:t>
          </m:r>
          <m:r>
            <m:t>A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  <m:r>
                <m:t>c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e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ϕ</m:t>
          </m:r>
          <m:r>
            <m:t> 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y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 (design (d), 9 October).</w:t>
      </w:r>
      <w:r>
        <w:t xml:space="preserve"> </w:t>
      </w:r>
      <w:r>
        <w:t xml:space="preserve">The area whose central bank holds the other’s bills as reserves (the EU</w:t>
      </w:r>
      <w:r>
        <w:t xml:space="preserve"> </w:t>
      </w:r>
      <w:r>
        <w:t xml:space="preserve">under the canonical reserve relation) pays a premium on the net foreign liabilities a scenario adds,</w:t>
      </w:r>
      <w:r>
        <w:t xml:space="preserve"> </w:t>
      </w:r>
      <w:r>
        <w:t xml:space="preserve">relative to the same arm’s unshocked path, as a share of income;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0.25</m:t>
        </m:r>
      </m:oMath>
      <w:r>
        <w:t xml:space="preserve">, a stress setting (the</w:t>
      </w:r>
      <w:r>
        <w:t xml:space="preserve"> </w:t>
      </w:r>
      <w:r>
        <w:t xml:space="preserve">calibrated finance arm uses 0.05). The premium is zero in the other area and in the baseline. It</w:t>
      </w:r>
      <w:r>
        <w:t xml:space="preserve"> </w:t>
      </w:r>
      <w:r>
        <w:t xml:space="preserve">reaches the rate of profit through (8.S4), so it moves prices as well as interest.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l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5.13</m:t>
              </m:r>
            </m:e>
          </m:d>
        </m:oMath>
      </m:oMathPara>
    </w:p>
    <w:bookmarkEnd w:id="29"/>
    <w:bookmarkStart w:id="30" w:name="X06d20eb2f32f35acb95fbe1b0a352f0bd777a0c"/>
    <w:p>
      <w:pPr>
        <w:pStyle w:val="Heading1"/>
      </w:pPr>
      <w:r>
        <w:t xml:space="preserve">Block 6. Population and the Labour Market</w:t>
      </w:r>
    </w:p>
    <w:p>
      <w:pPr>
        <w:pStyle w:val="FirstParagraph"/>
      </w:pPr>
      <w:r>
        <w:t xml:space="preserve">Employment, the wage bill and the labour force are as in the submitted description: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p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O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O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p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P</m:t>
              </m:r>
              <m:r>
                <m:t>O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P</m:t>
          </m:r>
          <m:r>
            <m:t>O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u</m:t>
          </m:r>
          <m:sSubSup>
            <m:e>
              <m:r>
                <m:t>n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0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ρ</m:t>
              </m:r>
            </m:e>
            <m:sub>
              <m:r>
                <m:t>1</m:t>
              </m:r>
              <m:r>
                <m:t>j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6.8</m:t>
              </m:r>
            </m:e>
          </m:d>
        </m:oMath>
      </m:oMathPara>
    </w:p>
    <w:p>
      <w:pPr>
        <w:pStyle w:val="FirstParagraph"/>
      </w:pPr>
      <w:r>
        <w:t xml:space="preserve">Female employment is reported by industry and in total: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ρ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sSubSup>
          <m:e>
            <m:r>
              <m:t>r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output per employee,</w:t>
      </w:r>
      <w:r>
        <w:t xml:space="preserve"> </w:t>
      </w:r>
      <m:oMath>
        <m:sSubSup>
          <m:e>
            <m:r>
              <m:t>w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the money wage, and the immigration coefficients</w:t>
      </w:r>
      <w: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m</m:t>
            </m:r>
            <m:r>
              <m:t>m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zero in the results reported.</w:t>
      </w:r>
    </w:p>
    <w:p>
      <w:pPr>
        <w:pStyle w:val="BodyText"/>
      </w:pPr>
      <w:r>
        <w:t xml:space="preserve">The money wage is one per area, fixed at the 2011 employment-weighted mean of the industry wages: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t>b</m:t>
                      </m:r>
                    </m:sup>
                  </m:sSubSup>
                </m:e>
              </m:nary>
              <m:r>
                <m:t> </m:t>
              </m:r>
              <m:sSubSup>
                <m:e>
                  <m:r>
                    <m:t>N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2011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2011</m:t>
                      </m:r>
                    </m:sup>
                  </m:sSubSup>
                </m:e>
              </m:nary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constant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6.9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The submitted description has no money-wage equation; the code held each industry’s wage at</w:t>
      </w:r>
      <w:r>
        <w:t xml:space="preserve"> </w:t>
      </w:r>
      <w:r>
        <w:t xml:space="preserve">its 2011 value. A single wage per area is what a uniform rate of profit requires (Block 8). It is</w:t>
      </w:r>
      <w:r>
        <w:t xml:space="preserve"> </w:t>
      </w:r>
      <w:r>
        <w:t xml:space="preserve">anchored at its 2011 mean, because re-averaging it each period with current employment weights let</w:t>
      </w:r>
      <w:r>
        <w:t xml:space="preserve"> </w:t>
      </w:r>
      <w:r>
        <w:t xml:space="preserve">the wage, and with it the whole price level, drift with the employment mix (by −11% in the EU and</w:t>
      </w:r>
      <w:r>
        <w:t xml:space="preserve"> </w:t>
      </w:r>
      <w:r>
        <w:t xml:space="preserve">−43% in RoW over a run).</w:t>
      </w:r>
    </w:p>
    <w:bookmarkEnd w:id="30"/>
    <w:bookmarkStart w:id="31" w:name="block-7.-portfolio-choices"/>
    <w:p>
      <w:pPr>
        <w:pStyle w:val="Heading1"/>
      </w:pPr>
      <w:r>
        <w:t xml:space="preserve">Block 7. Portfolio Choices</w:t>
      </w:r>
    </w:p>
    <w:p>
      <w:pPr>
        <w:pStyle w:val="FirstParagraph"/>
      </w:pPr>
      <w:r>
        <w:t xml:space="preserve">Households hold five assets: domestic bills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z</m:t>
            </m:r>
          </m:sup>
        </m:sSubSup>
      </m:oMath>
      <w:r>
        <w:t xml:space="preserve">, foreign bills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f</m:t>
            </m:r>
          </m:sup>
        </m:sSubSup>
      </m:oMath>
      <w:r>
        <w:t xml:space="preserve">, domestic shares</w:t>
      </w:r>
      <w:r>
        <w:t xml:space="preserve"> </w:t>
      </w:r>
      <m:oMath>
        <m:sSubSup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z</m:t>
            </m:r>
          </m:sup>
        </m:sSubSup>
      </m:oMath>
      <w:r>
        <w:t xml:space="preserve">, foreign shares</w:t>
      </w:r>
      <w:r>
        <w:t xml:space="preserve"> </w:t>
      </w:r>
      <m:oMath>
        <m:sSubSup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f</m:t>
            </m:r>
          </m:sup>
        </m:sSubSup>
      </m:oMath>
      <w:r>
        <w:t xml:space="preserve">, and deposits. Their demand for the first four, as shares of</w:t>
      </w:r>
      <w:r>
        <w:t xml:space="preserve"> </w:t>
      </w:r>
      <w:r>
        <w:t xml:space="preserve">net wealth, is a Tobinesque portfolio equation: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f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z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7.4</m:t>
              </m:r>
            </m:e>
          </m:d>
        </m:oMath>
      </m:oMathPara>
    </w:p>
    <w:p>
      <w:pPr>
        <w:pStyle w:val="FirstParagraph"/>
      </w:pPr>
      <w:r>
        <w:t xml:space="preserve">and the expected returns are adaptive: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r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7.0</m:t>
              </m:r>
            </m:e>
          </m:d>
        </m:oMath>
      </m:oMathPara>
    </w:p>
    <w:p>
      <w:pPr>
        <w:pStyle w:val="FirstParagraph"/>
      </w:pPr>
      <w:r>
        <w:t xml:space="preserve">where, for each area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b"/>
              </m:rPr>
              <m:t>r</m:t>
            </m:r>
          </m:e>
          <m:sup>
            <m:r>
              <m:t>z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e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m</m:t>
                </m:r>
              </m:sub>
              <m:sup>
                <m:r>
                  <m:t>z</m:t>
                </m:r>
              </m:sup>
            </m:sSubSup>
          </m:e>
        </m:d>
      </m:oMath>
      <w:r>
        <w:t xml:space="preserve"> </w:t>
      </w:r>
      <w:r>
        <w:t xml:space="preserve">is the vector of the five assets’ realised rates</w:t>
      </w:r>
      <w:r>
        <w:t xml:space="preserve"> </w:t>
      </w:r>
      <w:r>
        <w:t xml:space="preserve">of return, each foreign asset including the realised currency gain</w:t>
      </w:r>
      <w:r>
        <w:t xml:space="preserve"> </w:t>
      </w:r>
      <m:oMath>
        <m:r>
          <m:t>Δ</m:t>
        </m:r>
        <m:r>
          <m:t>x</m:t>
        </m:r>
        <m:sSup>
          <m:e>
            <m:r>
              <m:t>r</m:t>
            </m:r>
          </m:e>
          <m:sup>
            <m:r>
              <m:t>f</m:t>
            </m:r>
          </m:sup>
        </m:sSup>
        <m:r>
          <m:rPr>
            <m:sty m:val="p"/>
          </m:rPr>
          <m:t>/</m:t>
        </m:r>
        <m:r>
          <m:t>x</m:t>
        </m:r>
        <m:sSup>
          <m:e>
            <m:r>
              <m:t>r</m:t>
            </m:r>
          </m:e>
          <m:sup>
            <m:r>
              <m:t>f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rPr>
                <m:sty m:val="b"/>
              </m:rPr>
              <m:t>r</m:t>
            </m:r>
          </m:e>
          <m:sup>
            <m:r>
              <m:t>e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the expected returns, which close a share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of the gap to last</w:t>
      </w:r>
      <w:r>
        <w:t xml:space="preserve"> </w:t>
      </w:r>
      <w:r>
        <w:t xml:space="preserve">period’s realised returns each period;</w:t>
      </w:r>
    </w:p>
    <w:p>
      <w:pPr>
        <w:pStyle w:val="Compact"/>
        <w:numPr>
          <w:ilvl w:val="0"/>
          <w:numId w:val="1003"/>
        </w:numPr>
      </w:pP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r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are the returns and the portfolio shares at the start of the</w:t>
      </w:r>
      <w:r>
        <w:t xml:space="preserve"> </w:t>
      </w:r>
      <w:r>
        <w:t xml:space="preserve">experiment, read from the last period of the initial run (Block 0);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one scale parameter, and the subscript on the bracket picks the row of the asset</w:t>
      </w:r>
      <w:r>
        <w:t xml:space="preserve"> </w:t>
      </w:r>
      <w:r>
        <w:t xml:space="preserve">concerned.</w:t>
      </w:r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(7.1)–(7.4) carry 48 rate and income coefficients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all of</w:t>
      </w:r>
      <w:r>
        <w:t xml:space="preserve"> </w:t>
      </w:r>
      <w:r>
        <w:t xml:space="preserve">which were zero in the submitted calibration; the portfolio was a set of constant shares. Here the</w:t>
      </w:r>
      <w:r>
        <w:t xml:space="preserve"> </w:t>
      </w:r>
      <w:r>
        <w:t xml:space="preserve">constant shares</w:t>
      </w:r>
      <w:r>
        <w:t xml:space="preserve"> </w:t>
      </w:r>
      <m:oMath>
        <m:sSup>
          <m:e>
            <m:r>
              <m:t>λ</m:t>
            </m:r>
          </m:e>
          <m:sup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λ</m:t>
            </m:r>
          </m:e>
          <m:sup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 </w:t>
      </w:r>
      <w:r>
        <w:t xml:space="preserve">are kept and the 48 coefficients are replaced by</w:t>
      </w:r>
      <w:r>
        <w:t xml:space="preserve"> </w:t>
      </w:r>
      <w:r>
        <w:t xml:space="preserve">one matrix,</w:t>
      </w:r>
      <w:r>
        <w:t xml:space="preserve"> </w:t>
      </w:r>
      <m:oMath>
        <m:sSub>
          <m:e>
            <m:r>
              <m:t>Λ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t> 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</m:sSub>
            <m:sSubSup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d>
      </m:oMath>
      <w:r>
        <w:t xml:space="preserve">. By</w:t>
      </w:r>
      <w:r>
        <w:t xml:space="preserve"> </w:t>
      </w:r>
      <w:r>
        <w:t xml:space="preserve">construction:</w:t>
      </w:r>
    </w:p>
    <w:p>
      <w:pPr>
        <w:pStyle w:val="Compact"/>
        <w:numPr>
          <w:ilvl w:val="0"/>
          <w:numId w:val="1004"/>
        </w:numPr>
      </w:pPr>
      <w:r>
        <w:t xml:space="preserve">it is symmetric, so the cross-effects are reciprocal;</w:t>
      </w:r>
    </w:p>
    <w:p>
      <w:pPr>
        <w:pStyle w:val="Compact"/>
        <w:numPr>
          <w:ilvl w:val="0"/>
          <w:numId w:val="1004"/>
        </w:numPr>
      </w:pPr>
      <w:r>
        <w:t xml:space="preserve">its rows and columns sum to zero, so the five shares still add up to one;</w:t>
      </w:r>
    </w:p>
    <w:p>
      <w:pPr>
        <w:pStyle w:val="Compact"/>
        <w:numPr>
          <w:ilvl w:val="0"/>
          <w:numId w:val="1004"/>
        </w:numPr>
      </w:pPr>
      <w:r>
        <w:t xml:space="preserve">its own-return entries are positive and its cross-return entries negative;</w:t>
      </w:r>
    </w:p>
    <w:p>
      <w:pPr>
        <w:pStyle w:val="Compact"/>
        <w:numPr>
          <w:ilvl w:val="0"/>
          <w:numId w:val="1004"/>
        </w:numPr>
      </w:pPr>
      <w:r>
        <w:t xml:space="preserve">it is zero at the starting returns, so the baseline portfolio is the observed one.</w:t>
      </w:r>
    </w:p>
    <w:p>
      <w:pPr>
        <w:pStyle w:val="FirstParagraph"/>
      </w:pPr>
      <w:r>
        <w:t xml:space="preserve">These are the adding-up and symmetry conditions of Godley and Lavoie (2007, §5.6), here satisfied by</w:t>
      </w:r>
      <w:r>
        <w:t xml:space="preserve"> </w:t>
      </w:r>
      <w:r>
        <w:t xml:space="preserve">construction rather than by calibration. Two further points: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indexing.</w:t>
      </w:r>
      <w:r>
        <w:t xml:space="preserve"> </w:t>
      </w:r>
      <w:r>
        <w:t xml:space="preserve">Equity parameters are indexed by issuer and bill parameters by holder, as the</w:t>
      </w:r>
      <w:r>
        <w:t xml:space="preserve"> </w:t>
      </w:r>
      <w:r>
        <w:t xml:space="preserve">workbook labels them.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value of σ, and why the expectations are adaptive.</w:t>
      </w:r>
      <w:r>
        <w:t xml:space="preserve"> </w:t>
      </w:r>
      <w:r>
        <w:t xml:space="preserve">In 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portfolio read last period’s realised returns directly. That block has a lagged-return cobweb: a</w:t>
      </w:r>
      <w:r>
        <w:t xml:space="preserve"> </w:t>
      </w:r>
      <w:r>
        <w:t xml:space="preserve">larger equity share enlarges the stock of shares and so lowers the equity return, and it diverged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between 1.5 and 2. Two things have changed since. On the capital workbook the equity</w:t>
      </w:r>
      <w:r>
        <w:t xml:space="preserve"> </w:t>
      </w:r>
      <w:r>
        <w:t xml:space="preserve">return is lower (about 0.25 EU and 0.30 RoW, against 0.37 and 0.60), and the threshold rose above 2</w:t>
      </w:r>
      <w:r>
        <w:t xml:space="preserve"> </w:t>
      </w:r>
      <w:r>
        <w:t xml:space="preserve">(decision D-41); and the expectations are now adaptive (7.0,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), which slows the</w:t>
      </w:r>
      <w:r>
        <w:t xml:space="preserve"> </w:t>
      </w:r>
      <w:r>
        <w:t xml:space="preserve">feedback. With both, the stress value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converges in every baseline of the Results grid.</w:t>
      </w:r>
      <w:r>
        <w:t xml:space="preserve"> </w:t>
      </w:r>
      <w:r>
        <w:t xml:space="preserve">Which of the two changes is responsible has not been separated. Expected depreciation is still not</w:t>
      </w:r>
      <w:r>
        <w:t xml:space="preserve"> </w:t>
      </w:r>
      <w:r>
        <w:t xml:space="preserve">modelled; only the realised currency gain enters.</w:t>
      </w:r>
    </w:p>
    <w:p>
      <w:pPr>
        <w:pStyle w:val="FirstParagraph"/>
      </w:pPr>
      <w:r>
        <w:t xml:space="preserve">Households’ demand for cash and personal loans, and deposits as the buffer stock, are as in the</w:t>
      </w:r>
      <w:r>
        <w:t xml:space="preserve"> </w:t>
      </w:r>
      <w:r>
        <w:t xml:space="preserve">submitted description: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sSubSup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z</m:t>
                  </m:r>
                </m:sup>
              </m:sSup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D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ψ</m:t>
                  </m:r>
                </m:e>
                <m:sub>
                  <m:r>
                    <m:t>2</m:t>
                  </m:r>
                </m:sub>
                <m:sup>
                  <m:r>
                    <m:t>z</m:t>
                  </m:r>
                </m:sup>
              </m:sSubSup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z</m:t>
                      </m:r>
                      <m:r>
                        <m:t>T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7.7</m:t>
              </m:r>
            </m:e>
          </m:d>
        </m:oMath>
      </m:oMathPara>
    </w:p>
    <w:bookmarkEnd w:id="31"/>
    <w:bookmarkStart w:id="32" w:name="Xa686f52e79bb6471cc7782a819a8c9948b7de52"/>
    <w:p>
      <w:pPr>
        <w:pStyle w:val="Heading1"/>
      </w:pPr>
      <w:r>
        <w:t xml:space="preserve">Block 8. Price Setting and Production Function</w:t>
      </w:r>
    </w:p>
    <w:p>
      <w:pPr>
        <w:pStyle w:val="FirstParagraph"/>
      </w:pPr>
      <w:r>
        <w:t xml:space="preserve">Firms set prices of production with a uniform rate of profit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the circulating and fixed capital</w:t>
      </w:r>
      <w:r>
        <w:t xml:space="preserve"> </w:t>
      </w:r>
      <w:r>
        <w:t xml:space="preserve">advanced. The vector of prices of production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⊘</m:t>
          </m:r>
          <m:r>
            <m:t>p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e>
          </m:d>
          <m:r>
            <m:t> 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Ξ</m:t>
              </m:r>
              <m:r>
                <m:rPr>
                  <m:sty m:val="p"/>
                </m:rPr>
                <m:t>⊙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converts the cost of each imported input into the buying area’s currency at the price</w:t>
      </w:r>
      <w:r>
        <w:t xml:space="preserve"> </w:t>
      </w:r>
      <w:r>
        <w:t xml:space="preserve">its firms pay (8.S7),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matrix of fixed capital used up per unit of output.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(8.1) set industry-specific mark-ups</w:t>
      </w:r>
      <w:r>
        <w:t xml:space="preserve"> </w:t>
      </w:r>
      <m:oMath>
        <m:sSubSup>
          <m:e>
            <m:r>
              <m:t>μ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over unit costs and</w:t>
      </w:r>
      <w:r>
        <w:t xml:space="preserve"> </w:t>
      </w:r>
      <w:r>
        <w:t xml:space="preserve">industry-specific wages, so that</w:t>
      </w:r>
      <w:r>
        <w:t xml:space="preserve"> </w:t>
      </w:r>
      <w:r>
        <w:t xml:space="preserve">“industry-specific wage and profit rates do not level out”</w:t>
      </w:r>
      <w:r>
        <w:t xml:space="preserve">. Here the</w:t>
      </w:r>
      <w:r>
        <w:t xml:space="preserve"> </w:t>
      </w:r>
      <w:r>
        <w:t xml:space="preserve">rate of profit is uniform across industries and areas, and the money wage is one per area (6.9).</w:t>
      </w:r>
      <w:r>
        <w:t xml:space="preserve"> </w:t>
      </w:r>
      <w:r>
        <w:t xml:space="preserve">Prices are in money units, at the money wage.</w:t>
      </w:r>
    </w:p>
    <w:p>
      <w:pPr>
        <w:pStyle w:val="BodyText"/>
      </w:pPr>
      <w:r>
        <w:t xml:space="preserve">The fixed capital used up per unit of output is the empirical capital-flow matrix: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/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K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F</m:t>
          </m:r>
          <m:r>
            <m:t>C</m:t>
          </m:r>
          <m:r>
            <m:rPr>
              <m:sty m:val="p"/>
            </m:rPr>
            <m:t>⊘</m:t>
          </m:r>
          <m:r>
            <m:t>x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consumption of fixed capital of industry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that consists of product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(EXIOBASE 2011, both origins) and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consumption of fixed capital per unit of output.</w:t>
      </w:r>
    </w:p>
    <w:p>
      <w:pPr>
        <w:pStyle w:val="BodyText"/>
      </w:pPr>
      <w:r>
        <w:t xml:space="preserve">The rate of profit follows the money rate of interest (Sraffa 1960, §44; Pivetti 1991): the</w:t>
      </w:r>
      <w:r>
        <w:t xml:space="preserve"> </w:t>
      </w:r>
      <w:r>
        <w:t xml:space="preserve">value-added-weighted bill rate plus a normal profit of enterprise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e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0.2222</m:t>
        </m:r>
      </m:oMath>
      <w:r>
        <w:t xml:space="preserve">. It is not a free parameter: it is the value at which the prices of production</w:t>
      </w:r>
      <w:r>
        <w:t xml:space="preserve"> </w:t>
      </w:r>
      <w:r>
        <w:t xml:space="preserve">reproduce the observed 2011 price level at the observed output mix (</w:t>
      </w:r>
      <m:oMath>
        <m:r>
          <m:rPr>
            <m:sty m:val="p"/>
          </m:rPr>
          <m:t>∑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x</m:t>
        </m:r>
      </m:oMath>
      <w:r>
        <w:t xml:space="preserve">).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set by the interest rate, distribution is an outcome. The maximum rate of profit, the</w:t>
      </w:r>
      <w:r>
        <w:t xml:space="preserve"> </w:t>
      </w:r>
      <w:r>
        <w:t xml:space="preserve">standard commodity, and the profit share of the standard net product are: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−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s</m:t>
              </m:r>
              <m:r>
                <m:t>t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/</m:t>
          </m:r>
          <m:r>
            <m:t>R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t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5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are the Perron eigenvalue and right eigenvector.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read on the technique as operated, including its split between origins, but</w:t>
      </w:r>
      <w:r>
        <w:t xml:space="preserve"> </w:t>
      </w:r>
      <w:r>
        <w:t xml:space="preserve">without</w:t>
      </w:r>
      <w:r>
        <w:t xml:space="preserve"> </w:t>
      </w:r>
      <m:oMath>
        <m:r>
          <m:t>Ξ</m:t>
        </m:r>
      </m:oMath>
      <w:r>
        <w:t xml:space="preserve">: the exchange rate and duties are valuation, not technique.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d</m:t>
            </m:r>
          </m:sub>
        </m:sSub>
      </m:oMath>
      <w:r>
        <w:t xml:space="preserve">, the money value</w:t>
      </w:r>
      <w:r>
        <w:t xml:space="preserve"> </w:t>
      </w:r>
      <w:r>
        <w:t xml:space="preserve">of the standard gross product, is a measure of the price level, not a normalisation.</w:t>
      </w:r>
    </w:p>
    <w:p>
      <w:pPr>
        <w:pStyle w:val="BodyText"/>
      </w:pPr>
      <w:r>
        <w:t xml:space="preserve">Buyers pay different prices for the same good. Households pay the duty-inclusive import price</w:t>
      </w:r>
      <w:r>
        <w:t xml:space="preserve"> </w:t>
      </w:r>
      <w:r>
        <w:t xml:space="preserve">grossed up by VAT; firms and government pay it without VAT: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h</m:t>
              </m:r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and an imported input enters the cost of production at the price the buying area’s firms pay: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t> </m:t>
              </m:r>
              <m:r>
                <m:rPr>
                  <m:nor/>
                  <m:sty m:val="p"/>
                </m:rPr>
                <m:t>same region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ϕ</m:t>
                  </m:r>
                </m:e>
                <m:sup>
                  <m:r>
                    <m:t>z</m:t>
                  </m:r>
                </m:sup>
              </m:sSup>
              <m:sSubSup>
                <m:e>
                  <m:r>
                    <m:t>τ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Potential output and market prices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p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r>
            <m:t>P</m:t>
          </m:r>
          <m:r>
            <m:t>O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x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(8.3).</w:t>
      </w:r>
      <w:r>
        <w:t xml:space="preserve"> </w:t>
      </w:r>
      <w:r>
        <w:t xml:space="preserve">Market prices are basic prices: VAT is no longer inside</w:t>
      </w:r>
      <w:r>
        <w:t xml:space="preserve"> </w:t>
      </w:r>
      <m:oMath>
        <m:sSup>
          <m:e>
            <m:r>
              <m:t>p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but in the</w:t>
      </w:r>
      <w:r>
        <w:t xml:space="preserve"> </w:t>
      </w:r>
      <w:r>
        <w:t xml:space="preserve">household buyer price (8.S6) and in the VAT base (5.3).</w:t>
      </w:r>
    </w:p>
    <w:p>
      <w:pPr>
        <w:pStyle w:val="BodyText"/>
      </w:pPr>
      <w:r>
        <w:t xml:space="preserve">The average prices that turn each component of demand into real terms 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β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ι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bSup>
            <m:e>
              <m:acc>
                <m:accPr>
                  <m:chr m:val="̃"/>
                </m:accPr>
                <m:e>
                  <m: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t>x</m:t>
                      </m:r>
                    </m:e>
                  </m:d>
                </m:e>
                <m:sup>
                  <m:r>
                    <m:t>z</m:t>
                  </m:r>
                </m:sup>
              </m:sSup>
            </m:num>
            <m:den>
              <m:sSup>
                <m:e>
                  <m:r>
                    <m:rPr>
                      <m:sty m:val="b"/>
                    </m:rPr>
                    <m:t>1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t>x</m:t>
                      </m:r>
                    </m:e>
                  </m:d>
                </m:e>
                <m:sup>
                  <m:r>
                    <m:t>z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σ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  <m:r>
                <m:t>M</m:t>
              </m:r>
              <m:sSup>
                <m:e>
                  <m:r>
                    <m:t>P</m:t>
                  </m:r>
                </m:e>
                <m:sup>
                  <m:r>
                    <m:t>z</m:t>
                  </m:r>
                </m:sup>
              </m:sSup>
            </m:num>
            <m:den>
              <m:r>
                <m:t>i</m:t>
              </m:r>
              <m:r>
                <m:t>m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8.7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Each average price is taken over the buyer prices that the buyer concerned actually</w:t>
      </w:r>
      <w:r>
        <w:t xml:space="preserve"> </w:t>
      </w:r>
      <w:r>
        <w:t xml:space="preserve">pays, from either origin: households with VAT, firms and government without. The import price is</w:t>
      </w:r>
      <w:r>
        <w:t xml:space="preserve"> </w:t>
      </w:r>
      <w:r>
        <w:t xml:space="preserve">nominal imports over real imports.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prices the replacement bundle</w:t>
      </w:r>
      <w:r>
        <w:t xml:space="preserve"> </w:t>
      </w:r>
      <m:oMath>
        <m:r>
          <m:t>K</m:t>
        </m:r>
        <m:r>
          <m:t>x</m:t>
        </m:r>
      </m:oMath>
      <w:r>
        <w:t xml:space="preserve"> </w:t>
      </w:r>
      <w:r>
        <w:t xml:space="preserve">(2.1), 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government investment.</w:t>
      </w:r>
    </w:p>
    <w:bookmarkEnd w:id="32"/>
    <w:bookmarkStart w:id="33" w:name="block-9.-the-balance-of-payments"/>
    <w:p>
      <w:pPr>
        <w:pStyle w:val="Heading1"/>
      </w:pPr>
      <w:r>
        <w:t xml:space="preserve">Block 9. The Balance of Payments</w:t>
      </w:r>
    </w:p>
    <w:p>
      <w:pPr>
        <w:pStyle w:val="FirstParagraph"/>
      </w:pPr>
      <w:r>
        <w:t xml:space="preserve">Imports are no longer an estimated function. They are read from the input–output structure, at</w:t>
      </w:r>
      <w:r>
        <w:t xml:space="preserve"> </w:t>
      </w:r>
      <w:r>
        <w:t xml:space="preserve">prices that include duties: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ϕ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τ</m:t>
                  </m:r>
                </m:e>
                <m:sup>
                  <m:r>
                    <m:t>z</m:t>
                  </m:r>
                </m:sup>
              </m:s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/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τ</m:t>
                  </m:r>
                </m:e>
                <m:sup>
                  <m:r>
                    <m:t>z</m:t>
                  </m:r>
                </m:sup>
              </m:s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ι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r>
            <m:rPr>
              <m:sty m:val="p"/>
            </m:rPr>
            <m:t>+</m:t>
          </m:r>
          <m:sSubSup>
            <m:e>
              <m:r>
                <m:t>ι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share of the duty borne by the importer (0.5 in both areas),</w:t>
      </w:r>
      <w:r>
        <w:t xml:space="preserve"> </w:t>
      </w:r>
      <m:oMath>
        <m:r>
          <m:t>C</m:t>
        </m:r>
        <m:r>
          <m:t>I</m:t>
        </m:r>
        <m:sSup>
          <m:e>
            <m:r>
              <m:t>F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duty-inclusive import price and</w:t>
      </w:r>
      <w:r>
        <w:t xml:space="preserve"> </w:t>
      </w:r>
      <m:oMath>
        <m:r>
          <m:t>C</m:t>
        </m:r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 customs value. Total imports of good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intermediate</w:t>
      </w:r>
      <w:r>
        <w:t xml:space="preserve"> </w:t>
      </w:r>
      <w:r>
        <w:t xml:space="preserve">inputs, replacement of fixed capital, and the foreign-origin part of each final demand.</w:t>
      </w:r>
    </w:p>
    <w:p>
      <w:pPr>
        <w:pStyle w:val="BodyText"/>
      </w:pPr>
      <w:r>
        <w:t xml:space="preserve">The split of each final-demand share between origins responds to the change in relative buyer prices</w:t>
      </w:r>
      <w:r>
        <w:t xml:space="preserve"> </w:t>
      </w:r>
      <w:r>
        <w:t xml:space="preserve">since period 1 (Armington):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o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d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α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0.626</m:t>
        </m:r>
      </m:oMath>
      <w:r>
        <w:t xml:space="preserve"> </w:t>
      </w:r>
      <w:r>
        <w:t xml:space="preserve">in both areas. The total share of each good is preserved, so that the origin</w:t>
      </w:r>
      <w:r>
        <w:t xml:space="preserve"> </w:t>
      </w:r>
      <w:r>
        <w:t xml:space="preserve">split cannot undo a scenario’s substitution between goods.</w:t>
      </w:r>
    </w:p>
    <w:p>
      <w:pPr>
        <w:pStyle w:val="BodyText"/>
      </w:pPr>
      <w:r>
        <w:t xml:space="preserve">Real final imports are the foreign-origin part of final demand: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p>
                    <m:e>
                      <m:r>
                        <m:t>c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ι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ι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g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r>
                    <m:t>g</m:t>
                  </m:r>
                  <m:r>
                    <m:t>o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(9.1).</w:t>
      </w:r>
      <w:r>
        <w:t xml:space="preserve"> </w:t>
      </w:r>
      <w:r>
        <w:t xml:space="preserve">The submitted log-linear import function, with its estimated parameters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, is retired. Imports follow from the input–output structure and the origin</w:t>
      </w:r>
      <w:r>
        <w:t xml:space="preserve"> </w:t>
      </w:r>
      <w:r>
        <w:t xml:space="preserve">shares, so that what one area imports is what the other produces for it.</w:t>
      </w:r>
    </w:p>
    <w:p>
      <w:pPr>
        <w:pStyle w:val="BodyText"/>
      </w:pPr>
      <w:r>
        <w:t xml:space="preserve">Nominal imports, exports, and the trade balance are: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sSubSup>
            <m:e>
              <m:r>
                <m:t>V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i</m:t>
          </m:r>
          <m:r>
            <m:t>m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9.3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9.5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(9.2).</w:t>
      </w:r>
      <w:r>
        <w:t xml:space="preserve"> </w:t>
      </w:r>
      <w:r>
        <w:t xml:space="preserve">Imports are valued at their customs value, and include intermediate imports.</w:t>
      </w:r>
    </w:p>
    <w:p>
      <w:pPr>
        <w:pStyle w:val="BodyText"/>
      </w:pPr>
      <w:r>
        <w:t xml:space="preserve">The current account, the financial account and the net accumulation of financial assets are: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T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f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f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z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t>A</m:t>
          </m:r>
          <m:r>
            <m:t>B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A</m:t>
          </m:r>
          <m:r>
            <m:t>F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C</m:t>
          </m:r>
          <m:r>
            <m:t>A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9.8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(9.6).</w:t>
      </w:r>
      <w:r>
        <w:t xml:space="preserve"> </w:t>
      </w:r>
      <w:r>
        <w:t xml:space="preserve">Interest on foreign bills, and on the central bank’s foreign reserves, is</w:t>
      </w:r>
      <w:r>
        <w:t xml:space="preserve"> </w:t>
      </w:r>
      <w:r>
        <w:t xml:space="preserve">converted at the current exchange rate, as in (1.2).</w:t>
      </w:r>
    </w:p>
    <w:bookmarkEnd w:id="33"/>
    <w:bookmarkStart w:id="34" w:name="block-10.-exchange-rate-closure"/>
    <w:p>
      <w:pPr>
        <w:pStyle w:val="Heading1"/>
      </w:pPr>
      <w:r>
        <w:t xml:space="preserve">Block 10. Exchange Rate Closure</w:t>
      </w:r>
    </w:p>
    <w:p>
      <w:pPr>
        <w:pStyle w:val="FirstParagraph"/>
      </w:pPr>
      <w:r>
        <w:t xml:space="preserve">The exchange rate of the other area is the reciprocal of the domestic one, and under the canonical</w:t>
      </w:r>
      <w:r>
        <w:t xml:space="preserve"> </w:t>
      </w:r>
      <w:r>
        <w:t xml:space="preserve">closure it is fixed: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10.1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closure follows Godley and Lavoie’s OPENFIX (2007, §12.4), with gold as the reserve asset. Each</w:t>
      </w:r>
      <w:r>
        <w:t xml:space="preserve"> </w:t>
      </w:r>
      <w:r>
        <w:t xml:space="preserve">central bank is the residual holder of its own government’s bills: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10.3</m:t>
              </m:r>
            </m:e>
          </m:d>
        </m:oMath>
      </m:oMathPara>
    </w:p>
    <w:p>
      <w:pPr>
        <w:pStyle w:val="FirstParagraph"/>
      </w:pPr>
      <w:r>
        <w:t xml:space="preserve">Households’ foreign bills are supplied on demand, and the EU central bank’s stock of RoW bills is</w:t>
      </w:r>
      <w:r>
        <w:t xml:space="preserve"> </w:t>
      </w:r>
      <w:r>
        <w:t xml:space="preserve">held constant (zero in the workbook):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 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balance of payments settles in gold, which earns no interest. Each central bank’s gold is the</w:t>
      </w:r>
      <w:r>
        <w:t xml:space="preserve"> </w:t>
      </w:r>
      <w:r>
        <w:t xml:space="preserve">residual of its balance sheet: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A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f</m:t>
                      </m:r>
                    </m:sup>
                  </m:sSup>
                  <m:sSubSup>
                    <m:e>
                      <m:r>
                        <m:t>B</m:t>
                      </m:r>
                    </m:e>
                    <m:sub>
                      <m:r>
                        <m:t>c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  <m:sup>
                      <m:r>
                        <m:t>f</m:t>
                      </m:r>
                    </m:sup>
                  </m:sSubSup>
                </m:e>
              </m:d>
            </m:num>
            <m:den>
              <m:sSubSup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s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A</m:t>
                  </m:r>
                </m:e>
                <m:sub>
                  <m:r>
                    <m:t>s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10.8</m:t>
              </m:r>
            </m:e>
          </m:d>
        </m:oMath>
      </m:oMathPara>
    </w:p>
    <w:p>
      <w:pPr>
        <w:pStyle w:val="FirstParagraph"/>
      </w:pPr>
      <w:r>
        <w:t xml:space="preserve">and the redundant equation, checked and not computed, is world gold conservation: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assigned by 10.2; the redundant check is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o</m:t>
                      </m:r>
                      <m:r>
                        <m:t>r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r>
                <m:t> </m:t>
              </m:r>
              <m:r>
                <m:t>Δ</m:t>
              </m:r>
              <m:r>
                <m:t>O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10.6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 the submitted closure, the EU central bank absorbed any change in the RoW bill market</w:t>
      </w:r>
      <w:r>
        <w:t xml:space="preserve"> </w:t>
      </w:r>
      <w:r>
        <w:t xml:space="preserve">by buying RoW bills. Those bills earn RoW interest, which returns to the EU treasury as central-bank</w:t>
      </w:r>
      <w:r>
        <w:t xml:space="preserve"> </w:t>
      </w:r>
      <w:r>
        <w:t xml:space="preserve">profit. Over a run, that circuit carried 81% of the EU deficit. Here the reserve asset earns nothing,</w:t>
      </w:r>
      <w:r>
        <w:t xml:space="preserve"> </w:t>
      </w:r>
      <w:r>
        <w:t xml:space="preserve">and each central bank’s interest stays within its own area.</w:t>
      </w:r>
    </w:p>
    <w:bookmarkEnd w:id="34"/>
    <w:bookmarkStart w:id="35" w:name="block-11.-waste-emissions"/>
    <w:p>
      <w:pPr>
        <w:pStyle w:val="Heading1"/>
      </w:pPr>
      <w:r>
        <w:t xml:space="preserve">Block 11. Waste, Emissions</w:t>
      </w:r>
    </w:p>
    <w:p>
      <w:pPr>
        <w:pStyle w:val="FirstParagraph"/>
      </w:pPr>
      <w:r>
        <w:t xml:space="preserve">Waste accumulates as goods are produced, net of what the waste-treatment industries absorb: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w</m:t>
          </m:r>
          <m:sSubSup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ζ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t>W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t>a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11.2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treatment term refers to the five waste-treatment industries</w:t>
      </w:r>
      <w:r>
        <w:t xml:space="preserve"> </w:t>
      </w:r>
      <m:oMath>
        <m:r>
          <m:t>W</m:t>
        </m:r>
      </m:oMath>
      <w:r>
        <w:t xml:space="preserve">. The submitted</w:t>
      </w:r>
      <w:r>
        <w:t xml:space="preserve"> </w:t>
      </w:r>
      <w:r>
        <w:t xml:space="preserve">code referred to one industry by a stale index from the earlier five-industry model.</w:t>
      </w:r>
    </w:p>
    <w:p>
      <w:pPr>
        <w:pStyle w:val="BodyText"/>
      </w:pPr>
      <w:r>
        <w:t xml:space="preserve">Emissions, cumulative emissions, temperature, land and water are as in the submitted description: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m</m:t>
          </m:r>
          <m:r>
            <m:t>i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ε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m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e</m:t>
              </m:r>
            </m:e>
          </m:nary>
          <m:r>
            <m:t>m</m:t>
          </m:r>
          <m:r>
            <m:t>i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sSubSup>
            <m:e>
              <m:r>
                <m:t>o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e</m:t>
          </m:r>
          <m:r>
            <m:t>m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n</m:t>
              </m:r>
              <m:r>
                <m:t>c</m:t>
              </m:r>
            </m:den>
          </m:f>
          <m:r>
            <m:rPr>
              <m:sty m:val="p"/>
            </m:rPr>
            <m:t>⋅</m:t>
          </m:r>
          <m:r>
            <m:t>t</m:t>
          </m:r>
          <m:r>
            <m:t>c</m:t>
          </m:r>
          <m:r>
            <m:t>r</m:t>
          </m:r>
          <m:r>
            <m:t>e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λ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a</m:t>
          </m:r>
          <m:r>
            <m:t>n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t>e</m:t>
          </m:r>
          <m:sSubSup>
            <m:e>
              <m:r>
                <m:t>r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ω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t>e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t>a</m:t>
          </m:r>
          <m:r>
            <m:t>t</m:t>
          </m:r>
          <m:r>
            <m:t>e</m:t>
          </m:r>
          <m:sSubSup>
            <m:e>
              <m:r>
                <m:t>r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11.10</m:t>
              </m:r>
            </m:e>
          </m:d>
        </m:oMath>
      </m:oMathPara>
    </w:p>
    <w:bookmarkEnd w:id="35"/>
    <w:bookmarkStart w:id="36" w:name="X7970694e3a2847dd90849b4fb35f95ea62a0963"/>
    <w:p>
      <w:pPr>
        <w:pStyle w:val="Heading1"/>
      </w:pPr>
      <w:r>
        <w:t xml:space="preserve">Block 12. Matter Extraction and Energy Use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ϕ</m:t>
              </m:r>
            </m:e>
            <m:sup>
              <m:r>
                <m:t>z</m:t>
              </m:r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r</m:t>
          </m:r>
          <m:r>
            <m:t>e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r>
            <m:t>d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Sup>
                <m:e>
                  <m:r>
                    <m:t>μ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(12.3).</w:t>
      </w:r>
      <w:r>
        <w:t xml:space="preserve"> </w:t>
      </w:r>
      <w:r>
        <w:t xml:space="preserve">Recycled matter includes the material content of the eight secondary-material</w:t>
      </w:r>
      <w:r>
        <w:t xml:space="preserve"> </w:t>
      </w:r>
      <w:r>
        <w:t xml:space="preserve">industries’ output. The submitted code referred to one industry by a stale index.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ϕ</m:t>
              </m:r>
            </m:e>
            <m:sup>
              <m:r>
                <m:t>z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ζ</m:t>
                  </m:r>
                </m:e>
                <m:sub>
                  <m: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⊙</m:t>
              </m:r>
              <m:r>
                <m:t>d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d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ζ</m:t>
              </m:r>
            </m:e>
            <m:sub>
              <m:r>
                <m:t>d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d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ε</m:t>
              </m:r>
            </m:e>
            <m:sup>
              <m:r>
                <m:t>z</m:t>
              </m:r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Sup>
            <m:e>
              <m:r>
                <m:t>n</m:t>
              </m:r>
            </m:e>
            <m:sub>
              <m:r>
                <m:t>R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z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ε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⊙</m:t>
              </m:r>
              <m:sSubSup>
                <m:e>
                  <m:r>
                    <m:rPr>
                      <m:sty m:val="b"/>
                    </m:rPr>
                    <m:t>η</m:t>
                  </m:r>
                </m:e>
                <m:sub>
                  <m:r>
                    <m:t>e</m:t>
                  </m:r>
                  <m:r>
                    <m:t>n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e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R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12.15</m:t>
              </m:r>
            </m:e>
          </m:d>
        </m:oMath>
      </m:oMathPara>
    </w:p>
    <w:p>
      <w:pPr>
        <w:pStyle w:val="FirstParagraph"/>
      </w:pPr>
      <w:r>
        <w:t xml:space="preserve">Three equations of the submitted description are not computed by the model: the socio-economic</w:t>
      </w:r>
      <w:r>
        <w:t xml:space="preserve"> </w:t>
      </w:r>
      <w:r>
        <w:t xml:space="preserve">stock (12.6), whose line is commented out in the code, and the carbon mass of non-renewable energy</w:t>
      </w:r>
      <w:r>
        <w:t xml:space="preserve"> </w:t>
      </w:r>
      <w:r>
        <w:t xml:space="preserve">and the oxygen used in production (12.16, 12.17).</w:t>
      </w:r>
    </w:p>
    <w:bookmarkEnd w:id="36"/>
    <w:bookmarkStart w:id="37" w:name="block-13.-circular-economy-innovations"/>
    <w:p>
      <w:pPr>
        <w:pStyle w:val="Heading1"/>
      </w:pPr>
      <w:r>
        <w:t xml:space="preserve">Block 13. Circular Economy Innovations</w:t>
      </w:r>
    </w:p>
    <w:p>
      <w:pPr>
        <w:pStyle w:val="FirstParagraph"/>
      </w:pPr>
      <w:r>
        <w:t xml:space="preserve">Technical change is set by policy, at a speed that rises with government spending: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r>
            <m:t>c</m:t>
          </m:r>
          <m:sSup>
            <m:e>
              <m:r>
                <m:t>e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A</m:t>
              </m:r>
              <m:r>
                <m:t>0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Γ</m:t>
              </m:r>
            </m:e>
            <m:sub>
              <m:r>
                <m:t>A</m:t>
              </m:r>
            </m:sub>
            <m:sup>
              <m:r>
                <m:t>z</m:t>
              </m:r>
              <m:r>
                <m:t>T</m:t>
              </m:r>
            </m:sup>
          </m:sSubSup>
          <m:r>
            <m:rPr>
              <m:sty m:val="p"/>
            </m:rPr>
            <m:t>⋅</m:t>
          </m:r>
          <m:sSup>
            <m:e>
              <m:r>
                <m:t>σ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sSup>
          <m:e>
            <m:r>
              <m:t>e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switches the innovation on at the scenario’s start. The coefficients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what a scenario changes is the total input of each good per unit of output.</w:t>
      </w:r>
    </w:p>
    <w:p>
      <w:pPr>
        <w:pStyle w:val="BodyText"/>
      </w:pPr>
      <w:r>
        <w:t xml:space="preserve">How that input is split between domestic and foreign suppliers responds to relative prices, as for</w:t>
      </w:r>
      <w:r>
        <w:t xml:space="preserve"> </w:t>
      </w:r>
      <w:r>
        <w:t xml:space="preserve">final demand: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</m:e>
          </m:d>
          <m:r>
            <m:t> 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o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j</m:t>
          </m:r>
          <m:r>
            <m:rPr>
              <m:sty m:val="p"/>
            </m:rPr>
            <m:t>∈</m:t>
          </m:r>
          <m:r>
            <m:t>z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13.3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New (30 September 2026).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it preserves.</w:t>
      </w:r>
      <w:r>
        <w:t xml:space="preserve"> </w:t>
      </w:r>
      <w:r>
        <w:t xml:space="preserve">For each good and each using industry, the total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</m:oMath>
      <w:r>
        <w:t xml:space="preserve"> </w:t>
      </w:r>
      <w:r>
        <w:t xml:space="preserve">is preserved exactly; only its origin moves.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reads it.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what every equation that reads technical coefficients uses: (2.2),</w:t>
      </w:r>
      <w:r>
        <w:t xml:space="preserve"> </w:t>
      </w:r>
      <w:r>
        <w:t xml:space="preserve">(2.4a), (8.1), (8.S2), (8.S5), (9.1c) and (11.1).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it is needed.</w:t>
      </w:r>
      <w:r>
        <w:t xml:space="preserve"> </w:t>
      </w:r>
      <w:r>
        <w:t xml:space="preserve">With origin shares that respond to prices only in final demand, which is a</w:t>
      </w:r>
      <w:r>
        <w:t xml:space="preserve"> </w:t>
      </w:r>
      <w:r>
        <w:t xml:space="preserve">third (EU) to a half (RoW) of imports, an appreciation</w:t>
      </w:r>
      <w:r>
        <w:t xml:space="preserve"> </w:t>
      </w:r>
      <w:r>
        <w:rPr>
          <w:i/>
          <w:iCs/>
        </w:rPr>
        <w:t xml:space="preserve">raised</w:t>
      </w:r>
      <w:r>
        <w:t xml:space="preserve"> </w:t>
      </w:r>
      <w:r>
        <w:t xml:space="preserve">the appreciating area’s trade</w:t>
      </w:r>
      <w:r>
        <w:t xml:space="preserve"> </w:t>
      </w:r>
      <w:r>
        <w:t xml:space="preserve">balance. A floating exchange rate then diverged.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How the value was chosen.</w:t>
      </w:r>
      <w:r>
        <w:t xml:space="preserve"> </w:t>
      </w:r>
      <w:r>
        <w:t xml:space="preserve">1.0 is provisional. It is the smallest value tested at which an</w:t>
      </w:r>
      <w:r>
        <w:t xml:space="preserve"> </w:t>
      </w:r>
      <w:r>
        <w:t xml:space="preserve">appreciation lowers the trade balance in every run. There is no empirical estimate behind it.</w:t>
      </w:r>
    </w:p>
    <w:bookmarkEnd w:id="37"/>
    <w:bookmarkStart w:id="43" w:name="Xa601e4ccdbc1899f934714e797fdb395b5f1e53"/>
    <w:p>
      <w:pPr>
        <w:pStyle w:val="Heading1"/>
      </w:pPr>
      <w:r>
        <w:t xml:space="preserve">The external closures of the Results grid</w:t>
      </w:r>
    </w:p>
    <w:p>
      <w:pPr>
        <w:pStyle w:val="FirstParagraph"/>
      </w:pPr>
      <w:r>
        <w:t xml:space="preserve">The closure of Block 10 is one of four under which the Results are reported. Each alternative is</w:t>
      </w:r>
      <w:r>
        <w:t xml:space="preserve"> </w:t>
      </w:r>
      <w:r>
        <w:t xml:space="preserve">defined by the equations it changes; every other equation is as above. In every case the initial run</w:t>
      </w:r>
      <w:r>
        <w:t xml:space="preserve"> </w:t>
      </w:r>
      <w:r>
        <w:t xml:space="preserve">of Block 0 uses the canonical closure, and the alternative starts at period 1. The Results run twelve</w:t>
      </w:r>
      <w:r>
        <w:t xml:space="preserve"> </w:t>
      </w:r>
      <w:r>
        <w:t xml:space="preserve">scenarios (registry numbers 1–4, 7–13 and 16) under each of the four closures, in the EU/RoW setup</w:t>
      </w:r>
      <w:r>
        <w:t xml:space="preserve"> </w:t>
      </w:r>
      <w:r>
        <w:t xml:space="preserve">described here and in a North/South setup (North = Z1, South = Z2), 96 runs in all (decision D-60).</w:t>
      </w:r>
      <w:r>
        <w:t xml:space="preserve"> </w:t>
      </w:r>
      <w:r>
        <w:t xml:space="preserve">Each closure × setup cell is its own pair of arms, a finance-off comparator and the credit arm: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EU/RoW credit arm</w:t>
            </w:r>
          </w:p>
        </w:tc>
        <w:tc>
          <w:tcPr/>
          <w:p>
            <w:pPr>
              <w:pStyle w:val="Compact"/>
            </w:pPr>
            <w:r>
              <w:t xml:space="preserve">North/South credit arm</w:t>
            </w:r>
          </w:p>
        </w:tc>
        <w:tc>
          <w:tcPr/>
          <w:p>
            <w:pPr>
              <w:pStyle w:val="Compact"/>
            </w:pPr>
            <w:r>
              <w:t xml:space="preserve">Baseline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OPENFIX-gold (Block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revised_capital_highfinance_credit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revised_ns_capital_highfinance_credit</w:t>
            </w:r>
          </w:p>
        </w:tc>
        <w:tc>
          <w:tcPr/>
          <w:p>
            <w:pPr>
              <w:pStyle w:val="Compact"/>
            </w:pPr>
            <w:r>
              <w:t xml:space="preserve">passes every baseline gate in both setups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OPENFIX-fiat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revised_capital_highfinance_openfix_fiat_credit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revised_ns_capital_highfinance_openfix_fiat_credit</w:t>
            </w:r>
          </w:p>
        </w:tc>
        <w:tc>
          <w:tcPr/>
          <w:p>
            <w:pPr>
              <w:pStyle w:val="Compact"/>
            </w:pPr>
            <w:r>
              <w:t xml:space="preserve">passes after closure-specific recalibration; North/South pre-shock agreement 2.0e-5 under a declared 2.5e-5 numerical exception (D-59)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Quasi-float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revised_capital_highfinance_quasifloat_credit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revised_ns_capital_highfinance_quasifloat_credit</w:t>
            </w:r>
          </w:p>
        </w:tc>
        <w:tc>
          <w:tcPr/>
          <w:p>
            <w:pPr>
              <w:pStyle w:val="Compact"/>
            </w:pPr>
            <w:r>
              <w:t xml:space="preserve">passes in both setups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OPENFIXG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revised_capital_highfinance_openfixg_credit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revised_ns_capital_highfinance_openfixg_credit</w:t>
            </w:r>
          </w:p>
        </w:tc>
        <w:tc>
          <w:tcPr/>
          <w:p>
            <w:pPr>
              <w:pStyle w:val="Compact"/>
            </w:pPr>
            <w:r>
              <w:t xml:space="preserve">EU/RoW converges with a terminal oscillation and fails five baseline gates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; usable for responses against its own baseline, not for level comparisons across closures (D-48). North/South passes.</w:t>
            </w:r>
          </w:p>
        </w:tc>
      </w:tr>
    </w:tbl>
    <w:p>
      <w:pPr>
        <w:pStyle w:val="BodyText"/>
      </w:pPr>
      <w:r>
        <w:t xml:space="preserve">Every one of the 96 shock runs is checked against its own arm’s unshocked baseline over the</w:t>
      </w:r>
      <w:r>
        <w:t xml:space="preserve"> </w:t>
      </w:r>
      <w:r>
        <w:t xml:space="preserve">pre-shock window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–69 (</w:t>
      </w:r>
      <w:r>
        <w:rPr>
          <w:rStyle w:val="VerbatimChar"/>
        </w:rPr>
        <w:t xml:space="preserve">R/scenarios/check_grid_run.R</w:t>
      </w:r>
      <w:r>
        <w:t xml:space="preserve">), not against another closure’s. The</w:t>
      </w:r>
      <w:r>
        <w:t xml:space="preserve"> </w:t>
      </w:r>
      <w:r>
        <w:t xml:space="preserve">North/South workbook (</w:t>
      </w:r>
      <w:r>
        <w:rPr>
          <w:rStyle w:val="VerbatimChar"/>
        </w:rPr>
        <w:t xml:space="preserve">canonical_initial_state_North_South_capital_stationary_candidate.xlsx</w:t>
      </w:r>
      <w:r>
        <w:t xml:space="preserve">) uses the</w:t>
      </w:r>
      <w:r>
        <w:t xml:space="preserve"> </w:t>
      </w:r>
      <w:r>
        <w:t xml:space="preserve">EU-27 2011 depreciation rates for both regions, an explicit proxy (decision D-50).</w:t>
      </w:r>
    </w:p>
    <w:p>
      <w:pPr>
        <w:pStyle w:val="BodyText"/>
      </w:pPr>
      <w:r>
        <w:t xml:space="preserve">Two further closures were studied and are not in the Results: OPENFLEX, which is built but unstable,</w:t>
      </w:r>
      <w:r>
        <w:t xml:space="preserve"> </w:t>
      </w:r>
      <w:r>
        <w:t xml:space="preserve">and OPENFIXR, which was specified and not built. Both are described at the end of this section.</w:t>
      </w:r>
    </w:p>
    <w:bookmarkStart w:id="38" w:name="X301bcd23a298caa47149f5ce740ee81cbf435ff"/>
    <w:p>
      <w:pPr>
        <w:pStyle w:val="Heading2"/>
      </w:pPr>
      <w:r>
        <w:t xml:space="preserve">OPENFIX-fiat: reserves in interest-bearing bills</w:t>
      </w:r>
    </w:p>
    <w:p>
      <w:pPr>
        <w:pStyle w:val="FirstParagraph"/>
      </w:pPr>
      <w:r>
        <w:t xml:space="preserve">The EU central bank’s RoW bills are the moving reserve, the residual of the RoW bill market, and gold</w:t>
      </w:r>
      <w:r>
        <w:t xml:space="preserve"> </w:t>
      </w:r>
      <w:r>
        <w:t xml:space="preserve">is fixed: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 </m:t>
          </m:r>
          <m:r>
            <m:t>Δ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10.8</m:t>
              </m:r>
            </m:e>
          </m:d>
        </m:oMath>
      </m:oMathPara>
    </w:p>
    <w:p>
      <w:pPr>
        <w:pStyle w:val="FirstParagraph"/>
      </w:pPr>
      <w:r>
        <w:t xml:space="preserve">with (10.6) the redundant equation again. The reserves earn RoW interest, and that interest is EU</w:t>
      </w:r>
      <w:r>
        <w:t xml:space="preserve"> </w:t>
      </w:r>
      <w:r>
        <w:t xml:space="preserve">income. A surplus therefore buys reserves, whose interest enlarges the surplus, and nothing in the</w:t>
      </w:r>
      <w:r>
        <w:t xml:space="preserve"> </w:t>
      </w:r>
      <w:r>
        <w:t xml:space="preserve">model reacts to the stock of reserves: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rest of</w:t>
      </w:r>
      <w:r>
        <w:t xml:space="preserve"> </w:t>
      </w:r>
      <w:r>
        <w:t xml:space="preserve">the current account. Before calibration, the EU surplus grows at about 2% per period, close to the</w:t>
      </w:r>
      <w:r>
        <w:t xml:space="preserve"> </w:t>
      </w:r>
      <w:r>
        <w:t xml:space="preserve">bill rate: from 0.08% of value added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to 0.36%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, by which time the EU central</w:t>
      </w:r>
      <w:r>
        <w:t xml:space="preserve"> </w:t>
      </w:r>
      <w:r>
        <w:t xml:space="preserve">bank holds 183 units of RoW bills (€1.8 tn).</w:t>
      </w:r>
    </w:p>
    <w:p>
      <w:pPr>
        <w:pStyle w:val="BodyText"/>
      </w:pPr>
      <w:r>
        <w:t xml:space="preserve">The arm is therefore calibrated to a zero current account (decision of 1 October; for the Results</w:t>
      </w:r>
      <w:r>
        <w:t xml:space="preserve"> </w:t>
      </w:r>
      <w:r>
        <w:t xml:space="preserve">arms, recalibrated on 12 October: EU/RoW debt endowments 1,064 / 745 and EU share of RoW equity 0.0739,</w:t>
      </w:r>
      <w:r>
        <w:t xml:space="preserve"> </w:t>
      </w:r>
      <w:r>
        <w:t xml:space="preserve">giving debt/VA 0.8099 / 0.8501, decision D-49). It has its own</w:t>
      </w:r>
      <w:r>
        <w:t xml:space="preserve"> </w:t>
      </w:r>
      <w:r>
        <w:t xml:space="preserve">values of the EU share of wealth in RoW equity and of the two debt endowments, so that reserves stay</w:t>
      </w:r>
      <w:r>
        <w:t xml:space="preserve"> </w:t>
      </w:r>
      <w:r>
        <w:t xml:space="preserve">near zero and debt/VA stays on target. The baseline is then stationary, and any change in public</w:t>
      </w:r>
      <w:r>
        <w:t xml:space="preserve"> </w:t>
      </w:r>
      <w:r>
        <w:t xml:space="preserve">debt in a scenario run is easy to detect against it. The root is still there: calibration pins the</w:t>
      </w:r>
      <w:r>
        <w:t xml:space="preserve"> </w:t>
      </w:r>
      <w:r>
        <w:t xml:space="preserve">baseline, but a shock that opens a current-account imbalance will start the reserves compounding at</w:t>
      </w:r>
      <w:r>
        <w:t xml:space="preserve"> </w:t>
      </w:r>
      <w:r>
        <w:t xml:space="preserve">the bill rate. No reaction rule is added, because a rule that moves the interest rate with reserves</w:t>
      </w:r>
      <w:r>
        <w:t xml:space="preserve"> </w:t>
      </w:r>
      <w:r>
        <w:t xml:space="preserve">is OPENFIXR (below).</w:t>
      </w:r>
    </w:p>
    <w:bookmarkEnd w:id="38"/>
    <w:bookmarkStart w:id="39" w:name="openfixg-government-spending-reacts"/>
    <w:p>
      <w:pPr>
        <w:pStyle w:val="Heading2"/>
      </w:pPr>
      <w:r>
        <w:t xml:space="preserve">OPENFIXG: government spending reacts</w:t>
      </w:r>
    </w:p>
    <w:p>
      <w:pPr>
        <w:pStyle w:val="FirstParagraph"/>
      </w:pPr>
      <w:r>
        <w:t xml:space="preserve">All EU reserves are fixed, and EU real government spending is the residual of its budget constraint: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E</m:t>
              </m:r>
              <m:sSubSup>
                <m:e>
                  <m:r>
                    <m:t>F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b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A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/</m:t>
          </m:r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10.6</m:t>
              </m:r>
            </m:e>
          </m:d>
        </m:oMath>
      </m:oMathPara>
    </w:p>
    <w:p>
      <w:pPr>
        <w:pStyle w:val="FirstParagraph"/>
      </w:pPr>
      <w:r>
        <w:t xml:space="preserve">The EU bill supply is what households, banks, the RoW and the central bank demand at the fixed</w:t>
      </w:r>
      <w:r>
        <w:t xml:space="preserve"> </w:t>
      </w:r>
      <w:r>
        <w:t xml:space="preserve">rates. The deficit is the change in that supply, and spending adjusts to it.</w:t>
      </w:r>
    </w:p>
    <w:p>
      <w:pPr>
        <w:pStyle w:val="BodyText"/>
      </w:pPr>
      <w:r>
        <w:rPr>
          <w:b/>
          <w:bCs/>
        </w:rPr>
        <w:t xml:space="preserve">Which area adjusts.</w:t>
      </w:r>
      <w:r>
        <w:t xml:space="preserve"> </w:t>
      </w:r>
      <w:r>
        <w:t xml:space="preserve">The area whose government spending adjusts is the one whose central bank</w:t>
      </w:r>
      <w:r>
        <w:t xml:space="preserve"> </w:t>
      </w:r>
      <w:r>
        <w:t xml:space="preserve">holds the other area’s bills as reserves. In the EU/RoW model that is the EU. In the North/South</w:t>
      </w:r>
      <w:r>
        <w:t xml:space="preserve"> </w:t>
      </w:r>
      <w:r>
        <w:t xml:space="preserve">model the reserve relation is the mirror image (the South’s central bank holds North bills), so the</w:t>
      </w:r>
      <w:r>
        <w:t xml:space="preserve"> </w:t>
      </w:r>
      <w:r>
        <w:t xml:space="preserve">South adjusts, with the same equations with the area indices swapped. Which area’s money is world money is a</w:t>
      </w:r>
      <w:r>
        <w:t xml:space="preserve"> </w:t>
      </w:r>
      <w:r>
        <w:t xml:space="preserve">choice of closure, not of region: under OPENFIX-gold and the quasi-float both central banks’ foreign-bill</w:t>
      </w:r>
      <w:r>
        <w:t xml:space="preserve"> </w:t>
      </w:r>
      <w:r>
        <w:t xml:space="preserve">holdings are frozen and gold settles, so no area’s money plays that role, and those closures are neutral.</w:t>
      </w:r>
    </w:p>
    <w:bookmarkEnd w:id="39"/>
    <w:bookmarkStart w:id="40" w:name="quasi-float-a-crawling-exchange-rate"/>
    <w:p>
      <w:pPr>
        <w:pStyle w:val="Heading2"/>
      </w:pPr>
      <w:r>
        <w:t xml:space="preserve">Quasi-float: a crawling exchange rate</w:t>
      </w:r>
    </w:p>
    <w:p>
      <w:pPr>
        <w:pStyle w:val="FirstParagraph"/>
      </w:pPr>
      <w:r>
        <w:t xml:space="preserve">The exchange rate crawls on the lagged current account, and gold settles the rest: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p</m:t>
          </m:r>
          <m:r>
            <m:t>a</m:t>
          </m:r>
          <m:sSub>
            <m:e>
              <m:r>
                <m:t>r</m:t>
              </m:r>
            </m:e>
            <m:sub>
              <m:r>
                <m:t>x</m:t>
              </m:r>
              <m:r>
                <m:t>r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C</m:t>
              </m:r>
              <m:r>
                <m:t>A</m:t>
              </m:r>
              <m:sSubSup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Y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w:r>
        <w:t xml:space="preserve">The rule has no simultaneous loop. Its parameter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t>x</m:t>
            </m:r>
            <m:r>
              <m:t>r</m:t>
            </m:r>
          </m:sub>
        </m:sSub>
      </m:oMath>
      <w:r>
        <w:t xml:space="preserve"> </w:t>
      </w:r>
      <w:r>
        <w:t xml:space="preserve">is not identified by the baseline. It</w:t>
      </w:r>
      <w:r>
        <w:t xml:space="preserve"> </w:t>
      </w:r>
      <w:r>
        <w:t xml:space="preserve">needs the Armington split on intermediate inputs (13.3): without it, an appreciation raises the</w:t>
      </w:r>
      <w:r>
        <w:t xml:space="preserve"> </w:t>
      </w:r>
      <w:r>
        <w:t xml:space="preserve">trade balance, and the rate diverges.</w:t>
      </w:r>
    </w:p>
    <w:bookmarkEnd w:id="40"/>
    <w:bookmarkStart w:id="41" w:name="X2f42741fb56e3e8ef4038a650aecd880a4e554c"/>
    <w:p>
      <w:pPr>
        <w:pStyle w:val="Heading2"/>
      </w:pPr>
      <w:r>
        <w:t xml:space="preserve">OPENFLEX: a flexible exchange rate (built; unstable)</w:t>
      </w:r>
    </w:p>
    <w:p>
      <w:pPr>
        <w:pStyle w:val="FirstParagraph"/>
      </w:pPr>
      <w:r>
        <w:t xml:space="preserve">The exchange rate clears the market for RoW bills held by EU households, and all reserves are fixed</w:t>
      </w:r>
      <w:r>
        <w:t xml:space="preserve"> </w:t>
      </w:r>
      <w:r>
        <w:t xml:space="preserve">(arm</w:t>
      </w:r>
      <w:r>
        <w:t xml:space="preserve"> </w:t>
      </w:r>
      <w:r>
        <w:rPr>
          <w:rStyle w:val="VerbatimChar"/>
        </w:rPr>
        <w:t xml:space="preserve">revised_openflex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10.4</m:t>
              </m:r>
            </m:e>
          </m:d>
        </m:oMath>
      </m:oMathPara>
    </w:p>
    <w:p>
      <w:pPr>
        <w:pStyle w:val="FirstParagraph"/>
      </w:pPr>
      <w:r>
        <w:t xml:space="preserve">This needs portfolio demand that responds to returns, which Block 7 supplies. Two features of the</w:t>
      </w:r>
      <w:r>
        <w:t xml:space="preserve"> </w:t>
      </w:r>
      <w:r>
        <w:t xml:space="preserve">implementation matter: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exchange rate is solved within the period.</w:t>
      </w:r>
      <w:r>
        <w:t xml:space="preserve"> </w:t>
      </w:r>
      <w:r>
        <w:t xml:space="preserve">EU holdings of RoW bills are small (about 66</w:t>
      </w:r>
      <w:r>
        <w:t xml:space="preserve"> </w:t>
      </w:r>
      <w:r>
        <w:t xml:space="preserve">units, against about 3,000 RoW bills outstanding), so a small change in demand needs a large</w:t>
      </w:r>
      <w:r>
        <w:t xml:space="preserve"> </w:t>
      </w:r>
      <w:r>
        <w:t xml:space="preserve">change in the rate. With the currency gain of the same period in the returns, the loop between</w:t>
      </w:r>
      <w:r>
        <w:t xml:space="preserve"> </w:t>
      </w:r>
      <w:r>
        <w:t xml:space="preserve">the rate and the demand for RoW bills diverged. The rate is now found by a secant search on the</w:t>
      </w:r>
      <w:r>
        <w:t xml:space="preserve"> </w:t>
      </w:r>
      <w:r>
        <w:t xml:space="preserve">market-clearing gap, inside each period (4–8 passes, gap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expected currency gain is adaptive.</w:t>
      </w:r>
      <w:r>
        <w:t xml:space="preserve"> </w:t>
      </w:r>
      <w:r>
        <w:t xml:space="preserve">The portfolio reads last period’s realised gain</w:t>
      </w:r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), not the current one.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every period solves, but the rate cycles with growing amplitude:</w:t>
      </w:r>
      <w:r>
        <w:t xml:space="preserve"> </w:t>
      </w:r>
      <w:r>
        <w:t xml:space="preserve">1.09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, 1.39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t xml:space="preserve">, 0.70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, 4.44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19</m:t>
        </m:r>
      </m:oMath>
      <w:r>
        <w:t xml:space="preserve">, 0.085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22</m:t>
        </m:r>
      </m:oMath>
      <w:r>
        <w:t xml:space="preserve">; the run</w:t>
      </w:r>
      <w:r>
        <w:t xml:space="preserve"> </w:t>
      </w:r>
      <w:r>
        <w:t xml:space="preserve">stops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24</m:t>
        </m:r>
      </m:oMath>
      <w:r>
        <w:t xml:space="preserve">. This is an expectations cobweb, not the decelerating depreciation Godley and</w:t>
      </w:r>
      <w:r>
        <w:t xml:space="preserve"> </w:t>
      </w:r>
      <w:r>
        <w:t xml:space="preserve">Lavoie (2007, ch. 12) find. Slower adaptation (</w:t>
      </w:r>
      <m:oMath>
        <m:r>
          <m:t>θ</m:t>
        </m:r>
        <m:r>
          <m:rPr>
            <m:sty m:val="p"/>
          </m:rPr>
          <m:t>&lt;</m:t>
        </m:r>
        <m:r>
          <m:t>1</m:t>
        </m:r>
      </m:oMath>
      <w:r>
        <w:t xml:space="preserve">) and a smaller portfolio response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&lt;</m:t>
        </m:r>
        <m:r>
          <m:t>1</m:t>
        </m:r>
      </m:oMath>
      <w:r>
        <w:t xml:space="preserve">) are being tested next.</w:t>
      </w:r>
    </w:p>
    <w:bookmarkEnd w:id="41"/>
    <w:bookmarkStart w:id="42" w:name="openfixr-specified-not-built"/>
    <w:p>
      <w:pPr>
        <w:pStyle w:val="Heading2"/>
      </w:pPr>
      <w:r>
        <w:t xml:space="preserve">OPENFIXR: specified, not built</w:t>
      </w:r>
    </w:p>
    <w:p>
      <w:pPr>
        <w:pStyle w:val="FirstParagraph"/>
      </w:pPr>
      <w:r>
        <w:t xml:space="preserve">The EU bill rate would become the variable that clears the EU bill market (Godley and Lavoie 2007,</w:t>
      </w:r>
      <w:r>
        <w:t xml:space="preserve"> </w:t>
      </w:r>
      <w:r>
        <w:t xml:space="preserve">eq. 12.68), with the portfolio equations re-timed to current rates. It was decided on 1 October not to</w:t>
      </w:r>
      <w:r>
        <w:t xml:space="preserve"> </w:t>
      </w:r>
      <w:r>
        <w:t xml:space="preserve">build it, for two reasons. Godley and Lavoie’s own experiment finds that the rate</w:t>
      </w:r>
      <w:r>
        <w:t xml:space="preserve"> </w:t>
      </w:r>
      <w:r>
        <w:t xml:space="preserve">“has to go on rising</w:t>
      </w:r>
      <w:r>
        <w:t xml:space="preserve"> </w:t>
      </w:r>
      <w:r>
        <w:t xml:space="preserve">for ever”</w:t>
      </w:r>
      <w:r>
        <w:t xml:space="preserve"> </w:t>
      </w:r>
      <w:r>
        <w:t xml:space="preserve">(§12.6.1): a higher rate raises the interest paid abroad and so widens the deficit it was</w:t>
      </w:r>
      <w:r>
        <w:t xml:space="preserve"> </w:t>
      </w:r>
      <w:r>
        <w:t xml:space="preserve">raised to close. And in this model the bill rate also sets the rate of profit,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e</m:t>
        </m:r>
      </m:oMath>
      <w:r>
        <w:t xml:space="preserve"> </w:t>
      </w:r>
      <w:r>
        <w:t xml:space="preserve">(8.S4), so a</w:t>
      </w:r>
      <w:r>
        <w:t xml:space="preserve"> </w:t>
      </w:r>
      <w:r>
        <w:t xml:space="preserve">rate that drifts upward would move every price of production, and a scenario’s price results would mix</w:t>
      </w:r>
      <w:r>
        <w:t xml:space="preserve"> </w:t>
      </w:r>
      <w:r>
        <w:t xml:space="preserve">the circular-economy shock with the closure’s runaway.</w:t>
      </w:r>
    </w:p>
    <w:bookmarkEnd w:id="42"/>
    <w:bookmarkEnd w:id="43"/>
    <w:bookmarkStart w:id="44" w:name="calibration"/>
    <w:p>
      <w:pPr>
        <w:pStyle w:val="Heading1"/>
      </w:pPr>
      <w:r>
        <w:t xml:space="preserve">Calibration</w:t>
      </w:r>
    </w:p>
    <w:p>
      <w:pPr>
        <w:pStyle w:val="FirstParagraph"/>
      </w:pPr>
      <w:r>
        <w:t xml:space="preserve">The model is calibrated in three layers. Each layer keeps the one below it and re-solves only what</w:t>
      </w:r>
      <w:r>
        <w:t xml:space="preserve"> </w:t>
      </w:r>
      <w:r>
        <w:t xml:space="preserve">its own changes disturb.</w:t>
      </w:r>
    </w:p>
    <w:p>
      <w:pPr>
        <w:pStyle w:val="BodyText"/>
      </w:pPr>
      <w:r>
        <w:rPr>
          <w:b/>
          <w:bCs/>
        </w:rPr>
        <w:t xml:space="preserve">Layer 1: the canonical model (</w:t>
      </w:r>
      <w:r>
        <w:rPr>
          <w:rStyle w:val="VerbatimChar"/>
          <w:b/>
          <w:bCs/>
        </w:rPr>
        <w:t xml:space="preserve">revised</w:t>
      </w:r>
      <w:r>
        <w:rPr>
          <w:b/>
          <w:bCs/>
        </w:rPr>
        <w:t xml:space="preserve">, 30 September).</w:t>
      </w:r>
      <w:r>
        <w:t xml:space="preserve"> </w:t>
      </w:r>
      <w:r>
        <w:t xml:space="preserve">Calibrated to the 2011 EXIOBASE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data/targets/target_values.xlsx</w:t>
      </w:r>
      <w:r>
        <w:t xml:space="preserve">) so that the baseline is stationary at the targets. The net tax</w:t>
      </w:r>
      <w:r>
        <w:t xml:space="preserve"> </w:t>
      </w:r>
      <w:r>
        <w:t xml:space="preserve">rates were set at 0.743 (EU) and 0.558 (RoW) of the observed rates, because the model has no</w:t>
      </w:r>
      <w:r>
        <w:t xml:space="preserve"> </w:t>
      </w:r>
      <w:r>
        <w:t xml:space="preserve">transfers; the profit of enterprise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0.2222</m:t>
        </m:r>
      </m:oMath>
      <w:r>
        <w:t xml:space="preserve"> </w:t>
      </w:r>
      <w:r>
        <w:t xml:space="preserve">is derived, not calibrated, as the value at which the</w:t>
      </w:r>
      <w:r>
        <w:t xml:space="preserve"> </w:t>
      </w:r>
      <w:r>
        <w:t xml:space="preserve">prices of production reproduce the observed 2011 price level.</w:t>
      </w:r>
    </w:p>
    <w:p>
      <w:pPr>
        <w:pStyle w:val="BodyText"/>
      </w:pPr>
      <w:r>
        <w:rPr>
          <w:b/>
          <w:bCs/>
        </w:rPr>
        <w:t xml:space="preserve">Layer 2: the capital stock (</w:t>
      </w:r>
      <w:r>
        <w:rPr>
          <w:rStyle w:val="VerbatimChar"/>
          <w:b/>
          <w:bCs/>
        </w:rPr>
        <w:t xml:space="preserve">revised_capital</w:t>
      </w:r>
      <w:r>
        <w:rPr>
          <w:b/>
          <w:bCs/>
        </w:rPr>
        <w:t xml:space="preserve">, 10 October; decision D-41).</w:t>
      </w:r>
      <w:r>
        <w:t xml:space="preserve"> </w:t>
      </w:r>
      <w:r>
        <w:t xml:space="preserve">The larger capital</w:t>
      </w:r>
      <w:r>
        <w:t xml:space="preserve"> </w:t>
      </w:r>
      <w:r>
        <w:t xml:space="preserve">stock of (3.1) has to be financed, so firm loans were calibrated to data: 0.83 × value added in the EU</w:t>
      </w:r>
      <w:r>
        <w:t xml:space="preserve"> </w:t>
      </w:r>
      <w:r>
        <w:t xml:space="preserve">(Eurostat 2011, consolidated non-financial-corporation loans over gross value added, D-37) and</w:t>
      </w:r>
      <w:r>
        <w:t xml:space="preserve"> </w:t>
      </w:r>
      <w:r>
        <w:t xml:space="preserve">0.81 in RoW (BIS 2011, credit to non-financial corporations, all reporting countries, D-40). The</w:t>
      </w:r>
      <w:r>
        <w:t xml:space="preserve"> </w:t>
      </w:r>
      <w:r>
        <w:t xml:space="preserve">instruments were: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bills held by the own central bank (</w:t>
            </w:r>
            <w:r>
              <w:rPr>
                <w:rStyle w:val="VerbatimChar"/>
              </w:rPr>
              <w:t xml:space="preserve">debt_endowment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1,060.78</w:t>
            </w:r>
          </w:p>
        </w:tc>
        <w:tc>
          <w:tcPr/>
          <w:p>
            <w:pPr>
              <w:pStyle w:val="Compact"/>
            </w:pPr>
            <w:r>
              <w:t xml:space="preserve">755.07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own-area equity in households’ wealth (</w:t>
            </w:r>
            <w:r>
              <w:rPr>
                <w:rStyle w:val="VerbatimChar"/>
              </w:rPr>
              <w:t xml:space="preserve">lambdaE0_1</w:t>
            </w:r>
            <w:r>
              <w:t xml:space="preserve"> </w:t>
            </w:r>
            <w:r>
              <w:t xml:space="preserve">EU,</w:t>
            </w:r>
            <w:r>
              <w:t xml:space="preserve"> </w:t>
            </w:r>
            <w:r>
              <w:rPr>
                <w:rStyle w:val="VerbatimChar"/>
              </w:rPr>
              <w:t xml:space="preserve">lambdaE0_2</w:t>
            </w:r>
            <w:r>
              <w:t xml:space="preserve"> </w:t>
            </w:r>
            <w:r>
              <w:t xml:space="preserve">RoW)</w:t>
            </w:r>
          </w:p>
        </w:tc>
        <w:tc>
          <w:tcPr/>
          <w:p>
            <w:pPr>
              <w:pStyle w:val="Compact"/>
            </w:pPr>
            <w:r>
              <w:t xml:space="preserve">0.41136</w:t>
            </w:r>
          </w:p>
        </w:tc>
        <w:tc>
          <w:tcPr/>
          <w:p>
            <w:pPr>
              <w:pStyle w:val="Compact"/>
            </w:pPr>
            <w:r>
              <w:t xml:space="preserve">0.39336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RoW equity in EU households’ wealth (</w:t>
            </w:r>
            <w:r>
              <w:rPr>
                <w:rStyle w:val="VerbatimChar"/>
              </w:rPr>
              <w:t xml:space="preserve">lambdaE0_2</w:t>
            </w:r>
            <w:r>
              <w:t xml:space="preserve"> </w:t>
            </w:r>
            <w:r>
              <w:t xml:space="preserve">EU)</w:t>
            </w:r>
          </w:p>
        </w:tc>
        <w:tc>
          <w:tcPr/>
          <w:p>
            <w:pPr>
              <w:pStyle w:val="Compact"/>
            </w:pPr>
            <w:r>
              <w:t xml:space="preserve">0.05462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tax rates, scaled from layer 1 by</w:t>
            </w:r>
          </w:p>
        </w:tc>
        <w:tc>
          <w:tcPr/>
          <w:p>
            <w:pPr>
              <w:pStyle w:val="Compact"/>
            </w:pPr>
            <w:r>
              <w:t xml:space="preserve">1.02543</w:t>
            </w:r>
          </w:p>
        </w:tc>
        <w:tc>
          <w:tcPr/>
          <w:p>
            <w:pPr>
              <w:pStyle w:val="Compact"/>
            </w:pPr>
            <w:r>
              <w:t xml:space="preserve">1.01512</w:t>
            </w:r>
          </w:p>
        </w:tc>
      </w:tr>
    </w:tbl>
    <w:p>
      <w:pPr>
        <w:pStyle w:val="BodyText"/>
      </w:pPr>
      <w:r>
        <w:t xml:space="preserve">giving,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, loans/value added 0.8307 and 0.8100, debt/VA 0.8100 and 0.8500, an EU current</w:t>
      </w:r>
      <w:r>
        <w:t xml:space="preserve"> </w:t>
      </w:r>
      <w:r>
        <w:t xml:space="preserve">account of −0.003% of value added, and value added within 0.02% of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Layer 3: the stress workbook (</w:t>
      </w:r>
      <w:r>
        <w:rPr>
          <w:rStyle w:val="VerbatimChar"/>
          <w:b/>
          <w:bCs/>
        </w:rPr>
        <w:t xml:space="preserve">canonical_initial_state_capital_highfinance.xlsx</w:t>
      </w:r>
      <w:r>
        <w:rPr>
          <w:b/>
          <w:bCs/>
        </w:rPr>
        <w:t xml:space="preserve">, 11 October).</w:t>
      </w:r>
      <w:r>
        <w:t xml:space="preserve"> </w:t>
      </w:r>
      <w:r>
        <w:t xml:space="preserve">A</w:t>
      </w:r>
      <w:r>
        <w:t xml:space="preserve"> </w:t>
      </w:r>
      <w:r>
        <w:t xml:space="preserve">copy of layer 2 with five cells changed so that EU firms carry 1.2 × value added in loans instead of</w:t>
      </w:r>
      <w:r>
        <w:t xml:space="preserve"> </w:t>
      </w:r>
      <w:r>
        <w:t xml:space="preserve">0.83. It is a scenario instrument, not an estimate: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  <w:tc>
          <w:tcPr/>
          <w:p>
            <w:pPr>
              <w:pStyle w:val="Compact"/>
            </w:pPr>
            <w:r>
              <w:t xml:space="preserve">Stress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debt_endowment</w:t>
            </w:r>
            <w:r>
              <w:t xml:space="preserve"> </w:t>
            </w: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1,060.78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debt_endowment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755.07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lambdaE0_1</w:t>
            </w:r>
            <w:r>
              <w:t xml:space="preserve"> </w:t>
            </w:r>
            <w:r>
              <w:t xml:space="preserve">EU (EU equity in EU wealth)</w:t>
            </w:r>
          </w:p>
        </w:tc>
        <w:tc>
          <w:tcPr/>
          <w:p>
            <w:pPr>
              <w:pStyle w:val="Compact"/>
            </w:pPr>
            <w:r>
              <w:t xml:space="preserve">0.41136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lambdaE0_2</w:t>
            </w:r>
            <w:r>
              <w:t xml:space="preserve"> </w:t>
            </w:r>
            <w:r>
              <w:t xml:space="preserve">EU (RoW equity in EU wealth)</w:t>
            </w:r>
          </w:p>
        </w:tc>
        <w:tc>
          <w:tcPr/>
          <w:p>
            <w:pPr>
              <w:pStyle w:val="Compact"/>
            </w:pPr>
            <w:r>
              <w:t xml:space="preserve">0.05462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lambdaE0_2</w:t>
            </w:r>
            <w:r>
              <w:t xml:space="preserve"> </w:t>
            </w:r>
            <w:r>
              <w:t xml:space="preserve">RoW (RoW equity in RoW wealth)</w:t>
            </w:r>
          </w:p>
        </w:tc>
        <w:tc>
          <w:tcPr/>
          <w:p>
            <w:pPr>
              <w:pStyle w:val="Compact"/>
            </w:pPr>
            <w:r>
              <w:t xml:space="preserve">0.39336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</w:tr>
    </w:tbl>
    <w:p>
      <w:pPr>
        <w:pStyle w:val="BodyText"/>
      </w:pPr>
      <w:r>
        <w:t xml:space="preserve">Lowering EU households’ equity share raises EU firms’ loans, because firms have no net worth and</w:t>
      </w:r>
      <w:r>
        <w:t xml:space="preserve"> </w:t>
      </w:r>
      <w:r>
        <w:t xml:space="preserve">loans are what equity does not finance.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credit arm’s baseline gives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output/calibration/highfinance_calibration_20261011/acceptance.csv</w:t>
      </w:r>
      <w:r>
        <w:t xml:space="preserve">, all gates passed):</w:t>
      </w:r>
    </w:p>
    <w:p>
      <w:pPr>
        <w:pStyle w:val="Compact"/>
        <w:numPr>
          <w:ilvl w:val="0"/>
          <w:numId w:val="1008"/>
        </w:numPr>
      </w:pPr>
      <w:r>
        <w:t xml:space="preserve">firm loans/value added 1.2031 (EU) and 0.8183 (RoW);</w:t>
      </w:r>
    </w:p>
    <w:p>
      <w:pPr>
        <w:pStyle w:val="Compact"/>
        <w:numPr>
          <w:ilvl w:val="0"/>
          <w:numId w:val="1008"/>
        </w:numPr>
      </w:pPr>
      <w:r>
        <w:t xml:space="preserve">debt/VA 0.8079 and 0.8329, with slopes of</w:t>
      </w:r>
      <w:r>
        <w:t xml:space="preserve"> </w:t>
      </w:r>
      <m:oMath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period;</w:t>
      </w:r>
    </w:p>
    <w:p>
      <w:pPr>
        <w:pStyle w:val="Compact"/>
        <w:numPr>
          <w:ilvl w:val="0"/>
          <w:numId w:val="1008"/>
        </w:numPr>
      </w:pPr>
      <w:r>
        <w:t xml:space="preserve">an EU current account of −0.015% of value added;</w:t>
      </w:r>
    </w:p>
    <w:p>
      <w:pPr>
        <w:pStyle w:val="Compact"/>
        <w:numPr>
          <w:ilvl w:val="0"/>
          <w:numId w:val="1008"/>
        </w:numPr>
      </w:pPr>
      <w:r>
        <w:t xml:space="preserve">firm and public capital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of their targets (</w:t>
      </w:r>
      <m:oMath>
        <m:r>
          <m:t>k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= −1.9e-5 and −8.6e-5).</w:t>
      </w:r>
    </w:p>
    <w:p>
      <w:pPr>
        <w:pStyle w:val="FirstParagraph"/>
      </w:pPr>
      <w:r>
        <w:t xml:space="preserve">The three arms of the stress family (finance off, finance on, finance and credit) have the same</w:t>
      </w:r>
      <w:r>
        <w:t xml:space="preserve"> </w:t>
      </w:r>
      <w:r>
        <w:t xml:space="preserve">baseline to seven digits, because every finance and credit term is measured against the unshocked</w:t>
      </w:r>
      <w:r>
        <w:t xml:space="preserve"> </w:t>
      </w:r>
      <w:r>
        <w:t xml:space="preserve">path and is therefore zero in it.</w:t>
      </w:r>
    </w:p>
    <w:p>
      <w:pPr>
        <w:pStyle w:val="BodyText"/>
      </w:pPr>
      <w:r>
        <w:rPr>
          <w:b/>
          <w:bCs/>
        </w:rPr>
        <w:t xml:space="preserve">Stress coefficients</w:t>
      </w:r>
      <w:r>
        <w:t xml:space="preserve"> </w:t>
      </w:r>
      <w:r>
        <w:t xml:space="preserve">(arm columns of</w:t>
      </w:r>
      <w:r>
        <w:t xml:space="preserve"> </w:t>
      </w:r>
      <w:r>
        <w:rPr>
          <w:rStyle w:val="VerbatimChar"/>
        </w:rPr>
        <w:t xml:space="preserve">data/arms.csv</w:t>
      </w:r>
      <w:r>
        <w:t xml:space="preserve">, not workbook cells): margin response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 leverage response</w:t>
      </w:r>
      <w:r>
        <w:t xml:space="preserve"> </w:t>
      </w:r>
      <m:oMath>
        <m:sSub>
          <m:e>
            <m:r>
              <m:t>β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(calibrated finance arm: 2 and 0.5); premium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(0.05); retention</w:t>
      </w:r>
      <w:r>
        <w:t xml:space="preserve"> </w:t>
      </w:r>
      <m:oMath>
        <m:sSub>
          <m:e>
            <m: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(0.1); rationing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(0.17 and</w:t>
      </w:r>
      <w:r>
        <w:t xml:space="preserve"> </w:t>
      </w:r>
      <w:r>
        <w:t xml:space="preserve">0.2); portfolio scale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(1) with expectation speed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Set by the maintainer, with no empirical estimate:</w:t>
      </w:r>
      <w:r>
        <w:t xml:space="preserve"> </w:t>
      </w:r>
      <w:r>
        <w:t xml:space="preserve">the Armington elasticities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0.626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 and every stress coefficient above.</w:t>
      </w:r>
    </w:p>
    <w:p>
      <w:pPr>
        <w:pStyle w:val="BodyText"/>
      </w:pPr>
      <w:r>
        <w:t xml:space="preserve">In layer 1 two targets were missed, and the later layers did not revisit them: RoW investment, because the data include net investment that a</w:t>
      </w:r>
      <w:r>
        <w:t xml:space="preserve"> </w:t>
      </w:r>
      <w:r>
        <w:t xml:space="preserve">stationary economy cannot have, and EU exports. The North/South setup has its own calibration</w:t>
      </w:r>
      <w:r>
        <w:t xml:space="preserve"> </w:t>
      </w:r>
      <w:r>
        <w:t xml:space="preserve">(decisions D-53 to D-55 and D-59), with debt/VA targets from the IMF (0.979 North, 0.363 South).</w:t>
      </w:r>
    </w:p>
    <w:bookmarkEnd w:id="44"/>
    <w:bookmarkStart w:id="45" w:name="provenance"/>
    <w:p>
      <w:pPr>
        <w:pStyle w:val="Heading1"/>
      </w:pPr>
      <w:r>
        <w:t xml:space="preserve">Provenance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equations</w:t>
      </w:r>
      <w:r>
        <w:t xml:space="preserve"> </w:t>
      </w:r>
      <w:r>
        <w:t xml:space="preserve">are printed from</w:t>
      </w:r>
      <w:r>
        <w:t xml:space="preserve"> </w:t>
      </w:r>
      <w:r>
        <w:rPr>
          <w:rStyle w:val="VerbatimChar"/>
        </w:rPr>
        <w:t xml:space="preserve">qmd/equations/equations.csv</w:t>
      </w:r>
      <w:r>
        <w:t xml:space="preserve">, from the column of whichever arm</w:t>
      </w:r>
      <w:r>
        <w:t xml:space="preserve"> </w:t>
      </w:r>
      <w:r>
        <w:rPr>
          <w:rStyle w:val="VerbatimChar"/>
        </w:rPr>
        <w:t xml:space="preserve">current_revised</w:t>
      </w:r>
      <w:r>
        <w:t xml:space="preserve"> </w:t>
      </w:r>
      <w:r>
        <w:t xml:space="preserve">points to in</w:t>
      </w:r>
      <w:r>
        <w:t xml:space="preserve"> </w:t>
      </w:r>
      <w:r>
        <w:rPr>
          <w:rStyle w:val="VerbatimChar"/>
        </w:rPr>
        <w:t xml:space="preserve">data/arms.csv</w:t>
      </w:r>
      <w:r>
        <w:t xml:space="preserve"> </w:t>
      </w:r>
      <w:r>
        <w:t xml:space="preserve">(today</w:t>
      </w:r>
      <w:r>
        <w:t xml:space="preserve"> </w:t>
      </w:r>
      <w:r>
        <w:rPr>
          <w:rStyle w:val="VerbatimChar"/>
        </w:rPr>
        <w:t xml:space="preserve">revised_capital_highfinance_credit</w:t>
      </w:r>
      <w:r>
        <w:t xml:space="preserve">), and the</w:t>
      </w:r>
      <w:r>
        <w:t xml:space="preserve"> </w:t>
      </w:r>
      <w:r>
        <w:t xml:space="preserve">closure equations from</w:t>
      </w:r>
      <w:r>
        <w:t xml:space="preserve"> </w:t>
      </w:r>
      <w:r>
        <w:rPr>
          <w:rStyle w:val="VerbatimChar"/>
        </w:rPr>
        <w:t xml:space="preserve">qmd/equations/closure_overrides.csv</w:t>
      </w:r>
      <w:r>
        <w:t xml:space="preserve">. Re-rendering this file picks up any</w:t>
      </w:r>
      <w:r>
        <w:t xml:space="preserve"> </w:t>
      </w:r>
      <w:r>
        <w:t xml:space="preserve">change to the catalogue, but the prose was written for</w:t>
      </w:r>
      <w:r>
        <w:t xml:space="preserve"> </w:t>
      </w:r>
      <w:r>
        <w:rPr>
          <w:rStyle w:val="VerbatimChar"/>
        </w:rPr>
        <w:t xml:space="preserve">revised_capital_highfinance_credit</w:t>
      </w:r>
      <w:r>
        <w:t xml:space="preserve"> </w:t>
      </w:r>
      <w:r>
        <w:t xml:space="preserve">and must</w:t>
      </w:r>
      <w:r>
        <w:t xml:space="preserve"> </w:t>
      </w:r>
      <w:r>
        <w:t xml:space="preserve">be re-read if the pointer moves.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display override.</w:t>
      </w:r>
      <w:r>
        <w:t xml:space="preserve"> </w:t>
      </w:r>
      <w:r>
        <w:t xml:space="preserve">(3.6c) is printed without the bracketed</w:t>
      </w:r>
      <w:r>
        <w:t xml:space="preserve"> </w:t>
      </w:r>
      <w:r>
        <w:rPr>
          <w:rStyle w:val="VerbatimChar"/>
        </w:rPr>
        <w:t xml:space="preserve">ceiling</w:t>
      </w:r>
      <w:r>
        <w:t xml:space="preserve"> </w:t>
      </w:r>
      <w:r>
        <w:t xml:space="preserve">form that its catalogue</w:t>
      </w:r>
      <w:r>
        <w:t xml:space="preserve"> </w:t>
      </w:r>
      <w:r>
        <w:t xml:space="preserve">cell carries, because the current arm uses the</w:t>
      </w:r>
      <w:r>
        <w:t xml:space="preserve"> </w:t>
      </w:r>
      <w:r>
        <w:rPr>
          <w:rStyle w:val="VerbatimChar"/>
        </w:rPr>
        <w:t xml:space="preserve">rationed</w:t>
      </w:r>
      <w:r>
        <w:t xml:space="preserve"> </w:t>
      </w:r>
      <w:r>
        <w:t xml:space="preserve">form.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equation comes from the catalogue.</w:t>
      </w:r>
      <w:r>
        <w:t xml:space="preserve"> </w:t>
      </w:r>
      <w:r>
        <w:t xml:space="preserve">The ten cells that were not a clean</w:t>
      </w:r>
      <w:r>
        <w:t xml:space="preserve"> </w:t>
      </w:r>
      <w:r>
        <w:t xml:space="preserve">“lhs = rhs”</w:t>
      </w:r>
      <w:r>
        <w:t xml:space="preserve"> </w:t>
      </w:r>
      <w:r>
        <w:t xml:space="preserve">on</w:t>
      </w:r>
      <w:r>
        <w:t xml:space="preserve"> </w:t>
      </w:r>
      <w:r>
        <w:t xml:space="preserve">30 September were cleaned in the catalogue on 1 October (</w:t>
      </w:r>
      <w:r>
        <w:rPr>
          <w:rStyle w:val="VerbatimChar"/>
        </w:rPr>
        <w:t xml:space="preserve">tools/equations/catalogue_cleanup_20261001.py</w:t>
      </w:r>
      <w:r>
        <w:t xml:space="preserve">). The</w:t>
      </w:r>
      <w:r>
        <w:t xml:space="preserve"> </w:t>
      </w:r>
      <w:r>
        <w:t xml:space="preserve">fixed exchange rate of Block 10 comes from</w:t>
      </w:r>
      <w:r>
        <w:t xml:space="preserve"> </w:t>
      </w:r>
      <w:r>
        <w:rPr>
          <w:rStyle w:val="VerbatimChar"/>
        </w:rPr>
        <w:t xml:space="preserve">qmd/equations/closure_overrides.csv</w:t>
      </w:r>
      <w:r>
        <w:t xml:space="preserve">, row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Catalogue numbering.</w:t>
      </w:r>
      <w:r>
        <w:t xml:space="preserve"> </w:t>
      </w:r>
      <w:r>
        <w:t xml:space="preserve">8.S1 … 8.S7 are the catalogue’s</w:t>
      </w:r>
      <w:r>
        <w:t xml:space="preserve"> </w:t>
      </w:r>
      <w:r>
        <w:rPr>
          <w:rStyle w:val="VerbatimChar"/>
        </w:rPr>
        <w:t xml:space="preserve">8.sraffian.1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8.sraffian.7</w:t>
      </w:r>
      <w:r>
        <w:t xml:space="preserve">. Equation</w:t>
      </w:r>
      <w:r>
        <w:t xml:space="preserve"> </w:t>
      </w:r>
      <w:r>
        <w:t xml:space="preserve">(6.9) is the catalogue’s</w:t>
      </w:r>
      <w:r>
        <w:t xml:space="preserve"> </w:t>
      </w:r>
      <w:r>
        <w:rPr>
          <w:rStyle w:val="VerbatimChar"/>
        </w:rPr>
        <w:t xml:space="preserve">6.9a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Fuller records.</w:t>
      </w:r>
      <w:r>
        <w:t xml:space="preserve"> </w:t>
      </w:r>
      <w:r>
        <w:t xml:space="preserve">The change history of every equation, with its motivation, is the companion</w:t>
      </w:r>
      <w:r>
        <w:t xml:space="preserve"> </w:t>
      </w:r>
      <w:r>
        <w:t xml:space="preserve">page</w:t>
      </w:r>
      <w:r>
        <w:t xml:space="preserve"> </w:t>
      </w:r>
      <w:r>
        <w:rPr>
          <w:i/>
          <w:iCs/>
        </w:rPr>
        <w:t xml:space="preserve">Changes from the submitted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qmd/reports/2026-10-13-equation-changes-submitted-to-current.qmd</w:t>
      </w:r>
      <w:r>
        <w:t xml:space="preserve">); the catalogue cells and notes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model/equations/model-equations-submitted-to-revised.html</w:t>
      </w:r>
      <w:r>
        <w:t xml:space="preserve">; the closures, side by side, are in</w:t>
      </w:r>
      <w:r>
        <w:t xml:space="preserve"> </w:t>
      </w:r>
      <w:r>
        <w:rPr>
          <w:rStyle w:val="VerbatimChar"/>
        </w:rPr>
        <w:t xml:space="preserve">model/equations/model-equations-closures.html</w:t>
      </w:r>
      <w:r>
        <w:t xml:space="preserve">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011">
    <w:nsid w:val="A99422011"/>
    <w:multiLevelType w:val="multilevel"/>
    <w:lvl w:ilvl="0">
      <w:start w:val="2011"/>
      <w:numFmt w:val="decimal"/>
      <w:lvlText w:val="%1)"/>
      <w:lvlJc w:val="left"/>
      <w:pPr>
        <w:ind w:left="720" w:hanging="360"/>
      </w:pPr>
    </w:lvl>
    <w:lvl w:ilvl="1">
      <w:start w:val="2011"/>
      <w:numFmt w:val="decimal"/>
      <w:lvlText w:val="%2)"/>
      <w:lvlJc w:val="left"/>
      <w:pPr>
        <w:ind w:left="1440" w:hanging="360"/>
      </w:pPr>
    </w:lvl>
    <w:lvl w:ilvl="2">
      <w:start w:val="2011"/>
      <w:numFmt w:val="decimal"/>
      <w:lvlText w:val="%3)"/>
      <w:lvlJc w:val="left"/>
      <w:pPr>
        <w:ind w:left="2160" w:hanging="360"/>
      </w:pPr>
    </w:lvl>
    <w:lvl w:ilvl="3">
      <w:start w:val="2011"/>
      <w:numFmt w:val="decimal"/>
      <w:lvlText w:val="%4)"/>
      <w:lvlJc w:val="left"/>
      <w:pPr>
        <w:ind w:left="2880" w:hanging="360"/>
      </w:pPr>
    </w:lvl>
    <w:lvl w:ilvl="4">
      <w:start w:val="2011"/>
      <w:numFmt w:val="decimal"/>
      <w:lvlText w:val="%5)"/>
      <w:lvlJc w:val="left"/>
      <w:pPr>
        <w:ind w:left="3600" w:hanging="360"/>
      </w:pPr>
    </w:lvl>
    <w:lvl w:ilvl="5">
      <w:start w:val="2011"/>
      <w:numFmt w:val="decimal"/>
      <w:lvlText w:val="%6)"/>
      <w:lvlJc w:val="left"/>
      <w:pPr>
        <w:ind w:left="4320" w:hanging="360"/>
      </w:pPr>
    </w:lvl>
    <w:lvl w:ilvl="6">
      <w:start w:val="2011"/>
      <w:numFmt w:val="decimal"/>
      <w:lvlText w:val="%7)"/>
      <w:lvlJc w:val="left"/>
      <w:pPr>
        <w:ind w:left="5040" w:hanging="360"/>
      </w:pPr>
    </w:lvl>
    <w:lvl w:ilvl="7">
      <w:start w:val="2011"/>
      <w:numFmt w:val="decimal"/>
      <w:lvlText w:val="%8)"/>
      <w:lvlJc w:val="left"/>
      <w:pPr>
        <w:ind w:left="5760" w:hanging="360"/>
      </w:pPr>
    </w:lvl>
    <w:lvl w:ilvl="8">
      <w:start w:val="201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011"/>
    <w:lvlOverride w:ilvl="0">
      <w:startOverride w:val="2011"/>
    </w:lvlOverride>
    <w:lvlOverride w:ilvl="1">
      <w:startOverride w:val="2011"/>
    </w:lvlOverride>
    <w:lvlOverride w:ilvl="2">
      <w:startOverride w:val="2011"/>
    </w:lvlOverride>
    <w:lvlOverride w:ilvl="3">
      <w:startOverride w:val="2011"/>
    </w:lvlOverride>
    <w:lvlOverride w:ilvl="4">
      <w:startOverride w:val="2011"/>
    </w:lvlOverride>
    <w:lvlOverride w:ilvl="5">
      <w:startOverride w:val="2011"/>
    </w:lvlOverride>
    <w:lvlOverride w:ilvl="6">
      <w:startOverride w:val="2011"/>
    </w:lvlOverride>
    <w:lvlOverride w:ilvl="7">
      <w:startOverride w:val="2011"/>
    </w:lvlOverride>
    <w:lvlOverride w:ilvl="8">
      <w:startOverride w:val="201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Equations — the current revised LEEDS model</dc:title>
  <dc:creator>Oriol Vallès Codina — LEEDS_MODEL / JUST2CE</dc:creator>
  <cp:keywords/>
  <dcterms:created xsi:type="dcterms:W3CDTF">2026-10-13T18:04:46Z</dcterms:created>
  <dcterms:modified xsi:type="dcterms:W3CDTF">2026-10-13T18:04:46Z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The model the Results run on (arm revised_capital_highfinance_credit, the arm current_revised points to) described block by block in the form of the submitted model description, with a short note wherever an equation departs from it. The four external closures of the Results grid are set out at the end.</vt:lpwstr>
  </property>
  <property fmtid="{D5CDD505-2E9C-101B-9397-08002B2CF9AE}" pid="12" name="toc-title">
    <vt:lpwstr>Table of contents</vt:lpwstr>
  </property>
</Properties>
</file>