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Tudorsync: Arquitectura y Reparto de Trabajo</w:t>
      </w:r>
    </w:p>
    <w:p>
      <w:pPr/>
      <w:r>
        <w:t xml:space="preserve">Sep 29, 2026</w:t>
      </w:r>
      <w:r>
        <w:t xml:space="preserve"> · </w:t>
      </w:r>
      <w:r>
        <w:t xml:space="preserve">@Carlos</w:t>
      </w:r>
    </w:p>
    <w:p>
      <w:pPr/>
      <w:r>
        <w:drawing>
          <wp:inline distT="0" distB="0" distL="0" distR="0">
            <wp:extent cx="5486400" cy="2432957"/>
            <wp:docPr id="1" name="image1" descr="arquitectura: 3 conectores + 1 core + API TUDO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rquitectura: 3 conectores + 1 core + API TUDOR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arquitectura: 3 conectores + 1 core + API TUDOR</w:t>
      </w:r>
    </w:p>
    <w:p>
      <w:pPr/>
      <w:r>
        <w:t xml:space="preserve">Los tres conectores solo traducen el catálogo de su plataforma; toda la lógica de negocio y la conexión con TUDOR vive una sola vez en el core, que es el único componente que habla directamente con la API de TUDOR.</w:t>
      </w:r>
    </w:p>
    <w:p>
      <w:pPr>
        <w:pStyle w:val="Heading2"/>
      </w:pPr>
      <w:r>
        <w:t xml:space="preserve">Reparto de trabajo propuesto</w:t>
      </w:r>
    </w:p>
    <w:p>
      <w:pPr/>
      <w:r>
        <w:t xml:space="preserve">La división ya existe en el código (</w:t>
      </w:r>
      <w:r>
        <w:rPr>
          <w:rStyle w:val="CodeChar"/>
        </w:rPr>
        <w:t xml:space="preserve">modules/*</w:t>
      </w:r>
      <w:r>
        <w:t xml:space="preserve"> vs </w:t>
      </w:r>
      <w:r>
        <w:rPr>
          <w:rStyle w:val="CodeChar"/>
        </w:rPr>
        <w:t xml:space="preserve">core/</w:t>
      </w:r>
      <w:r>
        <w:t xml:space="preserve">), se puede trabajar en paralelo sin pisarse.</w:t>
      </w:r>
    </w:p>
    <w:p>
      <w:pPr>
        <w:pStyle w:val="Heading3"/>
      </w:pPr>
      <w:r>
        <w:rPr>
          <w:b/>
        </w:rPr>
        <w:t xml:space="preserve">Juanjo</w:t>
      </w:r>
      <w:r>
        <w:t xml:space="preserve"> — Conectores por plataforma</w:t>
      </w:r>
    </w:p>
    <w:p>
      <w:pPr/>
      <w:r>
        <w:t xml:space="preserve">Trabaja dentro de </w:t>
      </w:r>
      <w:r>
        <w:rPr>
          <w:rStyle w:val="CodeChar"/>
        </w:rPr>
        <w:t xml:space="preserve">modules/magento</w:t>
      </w:r>
      <w:r>
        <w:t xml:space="preserve">, </w:t>
      </w:r>
      <w:r>
        <w:rPr>
          <w:rStyle w:val="CodeChar"/>
        </w:rPr>
        <w:t xml:space="preserve">modules/prestashop</w:t>
      </w:r>
      <w:r>
        <w:t xml:space="preserve">, </w:t>
      </w:r>
      <w:r>
        <w:rPr>
          <w:rStyle w:val="CodeChar"/>
        </w:rPr>
        <w:t xml:space="preserve">modules/woocommerce</w:t>
      </w:r>
      <w:r>
        <w:t xml:space="preserve">. Empieza por Magento (Quera, ya en instalación; luego PLO).</w:t>
      </w:r>
    </w:p>
    <w:p>
      <w:pPr>
        <w:pStyle w:val="ListParagraph"/>
        <w:numPr>
          <w:ilvl w:val="0"/>
          <w:numId w:val="2"/>
        </w:numPr>
      </w:pPr>
      <w:r>
        <w:t xml:space="preserve">Confirmar con cada cliente el mapeo real producto → código de modelo TUDOR (hoy es un campo nuevo, </w:t>
      </w:r>
      <w:r>
        <w:rPr>
          <w:rStyle w:val="CodeChar"/>
        </w:rPr>
        <w:t xml:space="preserve">tudor_model_code</w:t>
      </w:r>
      <w:r>
        <w:t xml:space="preserve">, pendiente de validar que no choque con algo que ya tengan).</w:t>
      </w:r>
    </w:p>
    <w:p>
      <w:pPr>
        <w:pStyle w:val="ListParagraph"/>
        <w:numPr>
          <w:ilvl w:val="0"/>
          <w:numId w:val="2"/>
        </w:numPr>
      </w:pPr>
      <w:r>
        <w:t xml:space="preserve">Terminar la instalación y puesta en marcha en staging de Quera, luego replicar en PLO.</w:t>
      </w:r>
    </w:p>
    <w:p>
      <w:pPr>
        <w:pStyle w:val="ListParagraph"/>
        <w:numPr>
          <w:ilvl w:val="0"/>
          <w:numId w:val="2"/>
        </w:numPr>
      </w:pPr>
      <w:r>
        <w:t xml:space="preserve">Ajustar la lógica de exclusión de "bajo demanda" al catálogo real de cada tienda.</w:t>
      </w:r>
    </w:p>
    <w:p>
      <w:pPr>
        <w:pStyle w:val="ListParagraph"/>
        <w:numPr>
          <w:ilvl w:val="0"/>
          <w:numId w:val="2"/>
        </w:numPr>
      </w:pPr>
      <w:r>
        <w:t xml:space="preserve">Probar Test Connection / Run Sync Now end-to-end en cada tienda.</w:t>
      </w:r>
    </w:p>
    <w:p>
      <w:pPr>
        <w:pStyle w:val="ListParagraph"/>
        <w:numPr>
          <w:ilvl w:val="0"/>
          <w:numId w:val="2"/>
        </w:numPr>
      </w:pPr>
      <w:r>
        <w:t xml:space="preserve">Más adelante: mismos pasos para PrestaShop (Grau) y WooCommerce (Gordillo, Saphir), incluyendo definir el plugin de idiomas en WooCommerce si aplica.</w:t>
      </w:r>
    </w:p>
    <w:p>
      <w:pPr>
        <w:pStyle w:val="Heading3"/>
      </w:pPr>
      <w:r>
        <w:rPr>
          <w:b/>
        </w:rPr>
        <w:t xml:space="preserve">Jorge</w:t>
      </w:r>
      <w:r>
        <w:t xml:space="preserve"> — Conexión con TUDOR y reporting</w:t>
      </w:r>
    </w:p>
    <w:p>
      <w:pPr/>
      <w:r>
        <w:t xml:space="preserve">Trabaja dentro de </w:t>
      </w:r>
      <w:r>
        <w:rPr>
          <w:rStyle w:val="CodeChar"/>
        </w:rPr>
        <w:t xml:space="preserve">core/</w:t>
      </w:r>
      <w:r>
        <w:t xml:space="preserve">. La mayor parte del cliente de API ya está construida y probada (14 tests); el trabajo real que queda es:</w:t>
      </w:r>
    </w:p>
    <w:p>
      <w:pPr>
        <w:pStyle w:val="ListParagraph"/>
        <w:numPr>
          <w:ilvl w:val="0"/>
          <w:numId w:val="3"/>
        </w:numPr>
      </w:pPr>
      <w:r>
        <w:t xml:space="preserve">Gestionar la relación técnica con TUDOR: conseguir URL base, esquema de autenticación, y aclarar la semántica del campo </w:t>
      </w:r>
      <w:r>
        <w:rPr>
          <w:rStyle w:val="CodeChar"/>
        </w:rPr>
        <w:t xml:space="preserve">value</w:t>
      </w:r>
      <w:r>
        <w:t xml:space="preserve"> y si el id RSWI coincide con </w:t>
      </w:r>
      <w:r>
        <w:rPr>
          <w:rStyle w:val="CodeChar"/>
        </w:rPr>
        <w:t xml:space="preserve">stoId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Actualizar </w:t>
      </w:r>
      <w:r>
        <w:rPr>
          <w:rStyle w:val="CodeChar"/>
        </w:rPr>
        <w:t xml:space="preserve">TudorApiClient</w:t>
      </w:r>
      <w:r>
        <w:t xml:space="preserve"> en cuanto lleguen las credenciales reales.</w:t>
      </w:r>
    </w:p>
    <w:p>
      <w:pPr>
        <w:pStyle w:val="ListParagraph"/>
        <w:numPr>
          <w:ilvl w:val="0"/>
          <w:numId w:val="3"/>
        </w:numPr>
      </w:pPr>
      <w:r>
        <w:t xml:space="preserve">Construir la fuente de datos del informe mensual: conectar analítica web y pedidos de cada tienda al generador de Excel (</w:t>
      </w:r>
      <w:r>
        <w:rPr>
          <w:rStyle w:val="CodeChar"/>
        </w:rPr>
        <w:t xml:space="preserve">MonthlyReportWriter</w:t>
      </w:r>
      <w:r>
        <w:t xml:space="preserve">), que ya existe pero no tiene de dónde sacar datos reales todavía.</w:t>
      </w:r>
    </w:p>
    <w:p>
      <w:pPr>
        <w:pStyle w:val="ListParagraph"/>
        <w:numPr>
          <w:ilvl w:val="0"/>
          <w:numId w:val="3"/>
        </w:numPr>
      </w:pPr>
      <w:r>
        <w:t xml:space="preserve">Mantener los tests de </w:t>
      </w:r>
      <w:r>
        <w:rPr>
          <w:rStyle w:val="CodeChar"/>
        </w:rPr>
        <w:t xml:space="preserve">core</w:t>
      </w:r>
      <w:r>
        <w:t xml:space="preserve"> a medida que se agregan features.</w:t>
      </w:r>
    </w:p>
    <w:p>
      <w:pPr>
        <w:pStyle w:val="ListParagraph"/>
        <w:numPr>
          <w:ilvl w:val="0"/>
          <w:numId w:val="3"/>
        </w:numPr>
      </w:pPr>
      <w:r>
        <w:t xml:space="preserve">Más adelante: definir la distribución del paquete (Packagist privado o Satis) cuando pasemos de 1-2 a los 5 clientes.</w:t>
      </w:r>
    </w:p>
    <w:p>
      <w:pPr>
        <w:pStyle w:val="Heading2"/>
      </w:pPr>
      <w:r>
        <w:t xml:space="preserve">Qué necesita cada uno para arrancar</w:t>
      </w:r>
    </w:p>
    <w:p>
      <w:pPr/>
    </w:p>
    <w:p>
      <w:pPr>
        <w:pStyle w:val="ListParagraph"/>
        <w:numPr>
          <w:ilvl w:val="0"/>
          <w:numId w:val="4"/>
        </w:numPr>
      </w:pPr>
      <w:r>
        <w:t xml:space="preserve">Acceso al repo </w:t>
      </w:r>
      <w:r>
        <w:rPr>
          <w:rStyle w:val="CodeChar"/>
        </w:rPr>
        <w:t xml:space="preserve">github.com/ecoeurekac/tudorsync</w:t>
      </w:r>
      <w:r>
        <w:t xml:space="preserve"> (colaborador).</w:t>
      </w:r>
    </w:p>
    <w:p>
      <w:pPr>
        <w:pStyle w:val="ListParagraph"/>
        <w:numPr>
          <w:ilvl w:val="0"/>
          <w:numId w:val="4"/>
        </w:numPr>
      </w:pPr>
      <w:r>
        <w:t xml:space="preserve">Leer </w:t>
      </w:r>
      <w:r>
        <w:rPr>
          <w:rStyle w:val="CodeChar"/>
        </w:rPr>
        <w:t xml:space="preserve">CONTEXT.md</w:t>
      </w:r>
      <w:r>
        <w:t xml:space="preserve"> (por qué y cronología de decisiones) y </w:t>
      </w:r>
      <w:r>
        <w:rPr>
          <w:rStyle w:val="CodeChar"/>
        </w:rPr>
        <w:t xml:space="preserve">README.md</w:t>
      </w:r>
      <w:r>
        <w:t xml:space="preserve"> (detalle técnico) antes de tocar código.</w:t>
      </w:r>
    </w:p>
    <w:p>
      <w:pPr>
        <w:pStyle w:val="Heading2"/>
      </w:pPr>
      <w:r>
        <w:t xml:space="preserve">Coordinación entre si.</w:t>
      </w:r>
    </w:p>
    <w:p>
      <w:pPr/>
      <w:r>
        <w:t xml:space="preserve">Los dos comparten un solo contrato, ya definido y estable en el código: la interfaz </w:t>
      </w:r>
      <w:r>
        <w:rPr>
          <w:rStyle w:val="CodeChar"/>
        </w:rPr>
        <w:t xml:space="preserve">CatalogConnectorInterface</w:t>
      </w:r>
      <w:r>
        <w:t xml:space="preserve"> (el conector solo debe devolver objetos </w:t>
      </w:r>
      <w:r>
        <w:rPr>
          <w:rStyle w:val="CodeChar"/>
        </w:rPr>
        <w:t xml:space="preserve">StockAvailability</w:t>
      </w:r>
      <w:r>
        <w:t xml:space="preserve">) y el </w:t>
      </w:r>
      <w:r>
        <w:rPr>
          <w:rStyle w:val="CodeChar"/>
        </w:rPr>
        <w:t xml:space="preserve">TudorApiClient</w:t>
      </w:r>
      <w:r>
        <w:t xml:space="preserve"> (que ya sabe cómo hablarle a TUDOR). Mientras ninguno de los dos necesite cambiar esas dos piezas, no hay dependencia de día a día entre ambos.</w:t>
      </w:r>
    </w:p>
    <w:p>
      <w:pPr/>
      <w:r>
        <w:t xml:space="preserve">Solo van a necesitar hablar entre sí cuando:</w:t>
      </w:r>
    </w:p>
    <w:p>
      <w:pPr>
        <w:pStyle w:val="ListParagraph"/>
        <w:numPr>
          <w:ilvl w:val="0"/>
          <w:numId w:val="5"/>
        </w:numPr>
      </w:pPr>
      <w:r>
        <w:t xml:space="preserve">Se confirme algo de TUDOR que cambie la forma de </w:t>
      </w:r>
      <w:r>
        <w:rPr>
          <w:rStyle w:val="CodeChar"/>
        </w:rPr>
        <w:t xml:space="preserve">StockAvailability</w:t>
      </w:r>
      <w:r>
        <w:t xml:space="preserve"> (por ejemplo, si se agrega el mapeo RSWI para click &amp; collect por tienda).</w:t>
      </w:r>
    </w:p>
    <w:p>
      <w:pPr>
        <w:pStyle w:val="ListParagraph"/>
        <w:numPr>
          <w:ilvl w:val="0"/>
          <w:numId w:val="5"/>
        </w:numPr>
      </w:pPr>
      <w:r>
        <w:t xml:space="preserve">Juanjo necesite un campo nuevo que hoy no existe en el modelo de </w:t>
      </w:r>
      <w:r>
        <w:rPr>
          <w:rStyle w:val="CodeChar"/>
        </w:rPr>
        <w:t xml:space="preserve">core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Se decida la estrategia de distribución del código.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Tudorsync Arquitectura y Reparto de Trabajo</dc:title>
  <dc:description>Claude Docs node/f68e0b66-ddc9@68 docx-w6</dc:description>
  <cp:revision>68</cp:revision>
</cp:coreProperties>
</file>